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6353" w:rsidRPr="009B490D" w:rsidRDefault="00A56353" w:rsidP="00801D62">
      <w:pPr>
        <w:spacing w:line="360" w:lineRule="auto"/>
        <w:jc w:val="center"/>
        <w:rPr>
          <w:rFonts w:ascii="Times New Roman" w:hAnsi="Times New Roman" w:cs="Times New Roman"/>
          <w:b/>
          <w:sz w:val="36"/>
          <w:szCs w:val="36"/>
          <w:lang w:val="es-ES"/>
        </w:rPr>
      </w:pPr>
      <w:r w:rsidRPr="009B490D">
        <w:rPr>
          <w:rFonts w:ascii="Times New Roman" w:hAnsi="Times New Roman" w:cs="Times New Roman"/>
          <w:b/>
          <w:sz w:val="36"/>
          <w:szCs w:val="36"/>
          <w:lang w:val="es-ES"/>
        </w:rPr>
        <w:t>UNIVERSIDAD REGIONAL AUTÓNOMA DE LOS ANDES</w:t>
      </w:r>
    </w:p>
    <w:p w:rsidR="00A56353" w:rsidRPr="009B490D" w:rsidRDefault="00A56353" w:rsidP="00801D62">
      <w:pPr>
        <w:spacing w:line="360" w:lineRule="auto"/>
        <w:jc w:val="center"/>
        <w:rPr>
          <w:rFonts w:ascii="Times New Roman" w:hAnsi="Times New Roman" w:cs="Times New Roman"/>
          <w:b/>
          <w:sz w:val="36"/>
          <w:szCs w:val="36"/>
          <w:lang w:val="es-ES"/>
        </w:rPr>
      </w:pPr>
      <w:r w:rsidRPr="009B490D">
        <w:rPr>
          <w:rFonts w:ascii="Times New Roman" w:hAnsi="Times New Roman" w:cs="Times New Roman"/>
          <w:b/>
          <w:sz w:val="36"/>
          <w:szCs w:val="36"/>
          <w:lang w:val="es-ES"/>
        </w:rPr>
        <w:t xml:space="preserve"> “U N I A N D E S”</w:t>
      </w:r>
    </w:p>
    <w:p w:rsidR="00A56353" w:rsidRPr="009B490D" w:rsidRDefault="00A56353" w:rsidP="00801D62">
      <w:pPr>
        <w:spacing w:line="360" w:lineRule="auto"/>
        <w:jc w:val="center"/>
        <w:rPr>
          <w:rFonts w:ascii="Times New Roman" w:hAnsi="Times New Roman" w:cs="Times New Roman"/>
          <w:sz w:val="36"/>
          <w:szCs w:val="36"/>
          <w:lang w:val="es-ES"/>
        </w:rPr>
      </w:pPr>
      <w:r>
        <w:rPr>
          <w:noProof/>
          <w:lang w:eastAsia="es-EC"/>
        </w:rPr>
        <w:drawing>
          <wp:anchor distT="0" distB="0" distL="114300" distR="114300" simplePos="0" relativeHeight="251659264" behindDoc="1" locked="0" layoutInCell="1" allowOverlap="1" wp14:anchorId="78B0B0C1" wp14:editId="2D79C1CB">
            <wp:simplePos x="0" y="0"/>
            <wp:positionH relativeFrom="column">
              <wp:posOffset>2102451</wp:posOffset>
            </wp:positionH>
            <wp:positionV relativeFrom="paragraph">
              <wp:posOffset>85766</wp:posOffset>
            </wp:positionV>
            <wp:extent cx="1750899" cy="1650670"/>
            <wp:effectExtent l="0" t="0" r="1905" b="6985"/>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extLst>
                        <a:ext uri="{28A0092B-C50C-407E-A947-70E740481C1C}">
                          <a14:useLocalDpi xmlns:a14="http://schemas.microsoft.com/office/drawing/2010/main" val="0"/>
                        </a:ext>
                      </a:extLst>
                    </a:blip>
                    <a:stretch>
                      <a:fillRect/>
                    </a:stretch>
                  </pic:blipFill>
                  <pic:spPr>
                    <a:xfrm>
                      <a:off x="0" y="0"/>
                      <a:ext cx="1760435" cy="1659660"/>
                    </a:xfrm>
                    <a:prstGeom prst="rect">
                      <a:avLst/>
                    </a:prstGeom>
                  </pic:spPr>
                </pic:pic>
              </a:graphicData>
            </a:graphic>
            <wp14:sizeRelH relativeFrom="page">
              <wp14:pctWidth>0</wp14:pctWidth>
            </wp14:sizeRelH>
            <wp14:sizeRelV relativeFrom="page">
              <wp14:pctHeight>0</wp14:pctHeight>
            </wp14:sizeRelV>
          </wp:anchor>
        </w:drawing>
      </w:r>
    </w:p>
    <w:p w:rsidR="00A56353" w:rsidRPr="009B490D" w:rsidRDefault="00A56353" w:rsidP="00801D62">
      <w:pPr>
        <w:spacing w:line="360" w:lineRule="auto"/>
        <w:rPr>
          <w:rFonts w:ascii="Times New Roman" w:hAnsi="Times New Roman" w:cs="Times New Roman"/>
          <w:sz w:val="36"/>
          <w:szCs w:val="36"/>
          <w:lang w:val="es-ES"/>
        </w:rPr>
      </w:pPr>
    </w:p>
    <w:p w:rsidR="00A56353" w:rsidRDefault="00A56353" w:rsidP="00801D62">
      <w:pPr>
        <w:spacing w:line="360" w:lineRule="auto"/>
        <w:jc w:val="right"/>
        <w:rPr>
          <w:rFonts w:ascii="Times New Roman" w:hAnsi="Times New Roman" w:cs="Times New Roman"/>
          <w:b/>
          <w:sz w:val="36"/>
          <w:szCs w:val="36"/>
          <w:lang w:val="es-ES"/>
        </w:rPr>
      </w:pPr>
    </w:p>
    <w:p w:rsidR="00A56353" w:rsidRDefault="00A56353" w:rsidP="00801D62">
      <w:pPr>
        <w:spacing w:line="360" w:lineRule="auto"/>
        <w:jc w:val="center"/>
        <w:rPr>
          <w:rFonts w:ascii="Times New Roman" w:hAnsi="Times New Roman" w:cs="Times New Roman"/>
          <w:b/>
          <w:sz w:val="36"/>
          <w:szCs w:val="36"/>
          <w:lang w:val="es-ES"/>
        </w:rPr>
      </w:pPr>
    </w:p>
    <w:p w:rsidR="00A56353" w:rsidRPr="009B490D" w:rsidRDefault="00A56353" w:rsidP="00801D62">
      <w:pPr>
        <w:spacing w:line="360" w:lineRule="auto"/>
        <w:jc w:val="center"/>
        <w:rPr>
          <w:rFonts w:ascii="Times New Roman" w:hAnsi="Times New Roman" w:cs="Times New Roman"/>
          <w:b/>
          <w:sz w:val="36"/>
          <w:szCs w:val="36"/>
          <w:lang w:val="es-ES"/>
        </w:rPr>
      </w:pPr>
      <w:r w:rsidRPr="009B490D">
        <w:rPr>
          <w:rFonts w:ascii="Times New Roman" w:hAnsi="Times New Roman" w:cs="Times New Roman"/>
          <w:b/>
          <w:sz w:val="36"/>
          <w:szCs w:val="36"/>
          <w:lang w:val="es-ES"/>
        </w:rPr>
        <w:t>FACULTAD DE SISTEMAS MERCANTILES</w:t>
      </w:r>
    </w:p>
    <w:p w:rsidR="00A56353" w:rsidRDefault="00A56353" w:rsidP="00801D62">
      <w:pPr>
        <w:spacing w:line="360" w:lineRule="auto"/>
        <w:jc w:val="center"/>
        <w:rPr>
          <w:rFonts w:ascii="Times New Roman" w:hAnsi="Times New Roman" w:cs="Times New Roman"/>
          <w:b/>
          <w:sz w:val="36"/>
          <w:szCs w:val="36"/>
          <w:lang w:val="es-ES"/>
        </w:rPr>
      </w:pPr>
      <w:r w:rsidRPr="009B490D">
        <w:rPr>
          <w:rFonts w:ascii="Times New Roman" w:hAnsi="Times New Roman" w:cs="Times New Roman"/>
          <w:b/>
          <w:sz w:val="36"/>
          <w:szCs w:val="36"/>
          <w:lang w:val="es-ES"/>
        </w:rPr>
        <w:t>CARRERA CONTABILIDAD Y AUDITORÍA</w:t>
      </w:r>
    </w:p>
    <w:p w:rsidR="00A56353" w:rsidRPr="009B490D" w:rsidRDefault="00A56353" w:rsidP="00801D62">
      <w:pPr>
        <w:spacing w:line="360" w:lineRule="auto"/>
        <w:jc w:val="center"/>
        <w:rPr>
          <w:rFonts w:ascii="Times New Roman" w:hAnsi="Times New Roman" w:cs="Times New Roman"/>
          <w:b/>
          <w:sz w:val="36"/>
          <w:szCs w:val="36"/>
          <w:lang w:val="es-ES"/>
        </w:rPr>
      </w:pPr>
      <w:r>
        <w:rPr>
          <w:rFonts w:ascii="Times New Roman" w:hAnsi="Times New Roman" w:cs="Times New Roman"/>
          <w:b/>
          <w:sz w:val="36"/>
          <w:szCs w:val="36"/>
          <w:lang w:val="es-ES"/>
        </w:rPr>
        <w:tab/>
        <w:t>QUINTO NIVEL</w:t>
      </w:r>
    </w:p>
    <w:p w:rsidR="00A56353" w:rsidRPr="00A56353" w:rsidRDefault="00A56353" w:rsidP="00801D62">
      <w:pPr>
        <w:spacing w:line="360" w:lineRule="auto"/>
        <w:jc w:val="center"/>
        <w:rPr>
          <w:rFonts w:ascii="Times New Roman" w:hAnsi="Times New Roman" w:cs="Times New Roman"/>
          <w:b/>
          <w:sz w:val="28"/>
        </w:rPr>
      </w:pPr>
      <w:r w:rsidRPr="009B490D">
        <w:rPr>
          <w:rFonts w:ascii="Times New Roman" w:hAnsi="Times New Roman" w:cs="Times New Roman"/>
          <w:b/>
          <w:sz w:val="36"/>
          <w:szCs w:val="36"/>
          <w:lang w:val="es-ES"/>
        </w:rPr>
        <w:t xml:space="preserve">TEMA: </w:t>
      </w:r>
      <w:r w:rsidRPr="00A56353">
        <w:rPr>
          <w:rFonts w:ascii="Times New Roman" w:hAnsi="Times New Roman" w:cs="Times New Roman"/>
          <w:b/>
          <w:sz w:val="36"/>
          <w:szCs w:val="36"/>
          <w:lang w:val="es-ES"/>
        </w:rPr>
        <w:t>“</w:t>
      </w:r>
      <w:r w:rsidRPr="00A56353">
        <w:rPr>
          <w:rFonts w:ascii="Times New Roman" w:hAnsi="Times New Roman" w:cs="Times New Roman"/>
          <w:sz w:val="36"/>
          <w:szCs w:val="36"/>
        </w:rPr>
        <w:t>NORMATIVAS DE ESTADOS FINANCIEROS</w:t>
      </w:r>
      <w:r w:rsidRPr="00A56353">
        <w:rPr>
          <w:rFonts w:ascii="Times New Roman" w:hAnsi="Times New Roman" w:cs="Times New Roman"/>
          <w:bCs/>
          <w:sz w:val="36"/>
          <w:szCs w:val="36"/>
          <w:lang w:val="es-ES"/>
        </w:rPr>
        <w:t>”</w:t>
      </w:r>
    </w:p>
    <w:p w:rsidR="00A56353" w:rsidRPr="00E56FA1" w:rsidRDefault="00A56353" w:rsidP="00801D62">
      <w:pPr>
        <w:spacing w:line="360" w:lineRule="auto"/>
        <w:jc w:val="center"/>
        <w:rPr>
          <w:rFonts w:ascii="Times New Roman" w:hAnsi="Times New Roman" w:cs="Times New Roman"/>
          <w:sz w:val="36"/>
          <w:szCs w:val="36"/>
          <w:lang w:val="es-ES"/>
        </w:rPr>
      </w:pPr>
      <w:r>
        <w:rPr>
          <w:rFonts w:ascii="Times New Roman" w:hAnsi="Times New Roman" w:cs="Times New Roman"/>
          <w:b/>
          <w:sz w:val="36"/>
          <w:szCs w:val="36"/>
          <w:lang w:val="es-ES"/>
        </w:rPr>
        <w:t>ESTUDIANTE</w:t>
      </w:r>
      <w:r w:rsidRPr="009B490D">
        <w:rPr>
          <w:rFonts w:ascii="Times New Roman" w:hAnsi="Times New Roman" w:cs="Times New Roman"/>
          <w:b/>
          <w:sz w:val="36"/>
          <w:szCs w:val="36"/>
          <w:lang w:val="es-ES"/>
        </w:rPr>
        <w:t xml:space="preserve">: </w:t>
      </w:r>
      <w:r w:rsidRPr="009B490D">
        <w:rPr>
          <w:rFonts w:ascii="Times New Roman" w:hAnsi="Times New Roman" w:cs="Times New Roman"/>
          <w:sz w:val="36"/>
          <w:szCs w:val="36"/>
          <w:lang w:val="es-ES"/>
        </w:rPr>
        <w:t>LISBETH OBANDO</w:t>
      </w:r>
    </w:p>
    <w:p w:rsidR="00A56353" w:rsidRDefault="00A56353" w:rsidP="00801D62">
      <w:pPr>
        <w:spacing w:line="360" w:lineRule="auto"/>
        <w:jc w:val="center"/>
        <w:rPr>
          <w:rFonts w:ascii="Times New Roman" w:hAnsi="Times New Roman" w:cs="Times New Roman"/>
          <w:sz w:val="36"/>
          <w:szCs w:val="36"/>
          <w:lang w:val="es-ES"/>
        </w:rPr>
      </w:pPr>
      <w:r w:rsidRPr="009B490D">
        <w:rPr>
          <w:rFonts w:ascii="Times New Roman" w:hAnsi="Times New Roman" w:cs="Times New Roman"/>
          <w:b/>
          <w:sz w:val="36"/>
          <w:szCs w:val="36"/>
          <w:lang w:val="es-ES"/>
        </w:rPr>
        <w:t xml:space="preserve">ING: </w:t>
      </w:r>
      <w:r>
        <w:rPr>
          <w:rFonts w:ascii="Times New Roman" w:hAnsi="Times New Roman" w:cs="Times New Roman"/>
          <w:sz w:val="36"/>
          <w:szCs w:val="36"/>
          <w:lang w:val="es-ES"/>
        </w:rPr>
        <w:t>DANNY SANDOVAL</w:t>
      </w:r>
    </w:p>
    <w:p w:rsidR="00A56353" w:rsidRPr="009B490D" w:rsidRDefault="00A56353" w:rsidP="00801D62">
      <w:pPr>
        <w:spacing w:line="360" w:lineRule="auto"/>
        <w:jc w:val="center"/>
        <w:rPr>
          <w:rFonts w:ascii="Times New Roman" w:hAnsi="Times New Roman" w:cs="Times New Roman"/>
          <w:sz w:val="36"/>
          <w:szCs w:val="36"/>
          <w:lang w:val="es-ES"/>
        </w:rPr>
      </w:pPr>
    </w:p>
    <w:p w:rsidR="00A56353" w:rsidRDefault="00A56353" w:rsidP="00801D62">
      <w:pPr>
        <w:spacing w:line="360" w:lineRule="auto"/>
        <w:jc w:val="right"/>
        <w:rPr>
          <w:rFonts w:ascii="Times New Roman" w:hAnsi="Times New Roman" w:cs="Times New Roman"/>
          <w:sz w:val="36"/>
          <w:szCs w:val="36"/>
        </w:rPr>
      </w:pPr>
      <w:r w:rsidRPr="009B490D">
        <w:rPr>
          <w:rFonts w:ascii="Times New Roman" w:hAnsi="Times New Roman" w:cs="Times New Roman"/>
          <w:sz w:val="36"/>
          <w:szCs w:val="36"/>
        </w:rPr>
        <w:t>Tulcán,</w:t>
      </w:r>
      <w:r>
        <w:rPr>
          <w:rFonts w:ascii="Times New Roman" w:hAnsi="Times New Roman" w:cs="Times New Roman"/>
          <w:sz w:val="36"/>
          <w:szCs w:val="36"/>
        </w:rPr>
        <w:t xml:space="preserve"> 07 de Noviembre del 2012</w:t>
      </w:r>
    </w:p>
    <w:p w:rsidR="00BF01E5" w:rsidRDefault="00BF01E5" w:rsidP="00801D62">
      <w:pPr>
        <w:spacing w:line="360" w:lineRule="auto"/>
      </w:pPr>
    </w:p>
    <w:p w:rsidR="00A56353" w:rsidRDefault="00A56353" w:rsidP="00801D62">
      <w:pPr>
        <w:spacing w:line="360" w:lineRule="auto"/>
      </w:pPr>
    </w:p>
    <w:p w:rsidR="00A56353" w:rsidRDefault="00A56353" w:rsidP="00801D62">
      <w:pPr>
        <w:spacing w:line="360" w:lineRule="auto"/>
        <w:jc w:val="center"/>
        <w:rPr>
          <w:rFonts w:ascii="Times New Roman" w:hAnsi="Times New Roman" w:cs="Times New Roman"/>
          <w:b/>
          <w:sz w:val="32"/>
        </w:rPr>
      </w:pPr>
      <w:r w:rsidRPr="00A2672B">
        <w:rPr>
          <w:rFonts w:ascii="Times New Roman" w:hAnsi="Times New Roman" w:cs="Times New Roman"/>
          <w:b/>
          <w:sz w:val="32"/>
        </w:rPr>
        <w:lastRenderedPageBreak/>
        <w:t>INTRODUCCIÓN.</w:t>
      </w:r>
    </w:p>
    <w:p w:rsidR="00A2672B" w:rsidRPr="00A2672B" w:rsidRDefault="00A2672B" w:rsidP="00801D62">
      <w:pPr>
        <w:spacing w:line="360" w:lineRule="auto"/>
        <w:jc w:val="center"/>
        <w:rPr>
          <w:rFonts w:ascii="Times New Roman" w:hAnsi="Times New Roman" w:cs="Times New Roman"/>
          <w:b/>
          <w:sz w:val="32"/>
        </w:rPr>
      </w:pPr>
    </w:p>
    <w:p w:rsidR="00A2672B" w:rsidRDefault="00A2672B" w:rsidP="00801D62">
      <w:pPr>
        <w:spacing w:line="360" w:lineRule="auto"/>
        <w:jc w:val="both"/>
        <w:rPr>
          <w:rFonts w:ascii="Times New Roman" w:hAnsi="Times New Roman" w:cs="Times New Roman"/>
          <w:sz w:val="26"/>
          <w:szCs w:val="26"/>
        </w:rPr>
      </w:pPr>
      <w:r w:rsidRPr="00A2672B">
        <w:rPr>
          <w:rFonts w:ascii="Times New Roman" w:hAnsi="Times New Roman" w:cs="Times New Roman"/>
          <w:sz w:val="26"/>
          <w:szCs w:val="26"/>
        </w:rPr>
        <w:t xml:space="preserve">El propósito de este </w:t>
      </w:r>
      <w:r>
        <w:rPr>
          <w:rFonts w:ascii="Times New Roman" w:hAnsi="Times New Roman" w:cs="Times New Roman"/>
          <w:sz w:val="26"/>
          <w:szCs w:val="26"/>
        </w:rPr>
        <w:t>material</w:t>
      </w:r>
      <w:r w:rsidRPr="00A2672B">
        <w:rPr>
          <w:rFonts w:ascii="Times New Roman" w:hAnsi="Times New Roman" w:cs="Times New Roman"/>
          <w:sz w:val="26"/>
          <w:szCs w:val="26"/>
        </w:rPr>
        <w:t xml:space="preserve"> es proporcionar una guía de acción para el aprendizaje, enseñanza y aplicación práctica sobre la revisión de estados financieros de una empresa u organización del sector público y privado.</w:t>
      </w:r>
    </w:p>
    <w:p w:rsidR="00D45C02" w:rsidRPr="00A2672B" w:rsidRDefault="00D45C02" w:rsidP="00801D62">
      <w:pPr>
        <w:autoSpaceDE w:val="0"/>
        <w:autoSpaceDN w:val="0"/>
        <w:adjustRightInd w:val="0"/>
        <w:spacing w:after="0" w:line="360" w:lineRule="auto"/>
        <w:jc w:val="both"/>
        <w:rPr>
          <w:rFonts w:ascii="Times New Roman" w:hAnsi="Times New Roman" w:cs="Times New Roman"/>
          <w:sz w:val="26"/>
          <w:szCs w:val="26"/>
        </w:rPr>
      </w:pPr>
      <w:r w:rsidRPr="00A2672B">
        <w:rPr>
          <w:rFonts w:ascii="Times New Roman" w:hAnsi="Times New Roman" w:cs="Times New Roman"/>
          <w:sz w:val="26"/>
          <w:szCs w:val="26"/>
        </w:rPr>
        <w:t xml:space="preserve">El presente trabajo se centra en los conceptos acordados que subyacen a la información financiera según lo establecido por la </w:t>
      </w:r>
      <w:r w:rsidRPr="00A2672B">
        <w:rPr>
          <w:rFonts w:ascii="Times New Roman" w:hAnsi="Times New Roman" w:cs="Times New Roman"/>
          <w:iCs/>
          <w:sz w:val="26"/>
          <w:szCs w:val="26"/>
        </w:rPr>
        <w:t>NIIF, los Principios y limitaciones de los Estados Financieros</w:t>
      </w:r>
      <w:r w:rsidRPr="00A2672B">
        <w:rPr>
          <w:rFonts w:ascii="Times New Roman" w:hAnsi="Times New Roman" w:cs="Times New Roman"/>
          <w:sz w:val="26"/>
          <w:szCs w:val="26"/>
        </w:rPr>
        <w:t xml:space="preserve"> que sirven de orientación </w:t>
      </w:r>
      <w:r w:rsidRPr="00A2672B">
        <w:rPr>
          <w:rFonts w:ascii="Times New Roman" w:hAnsi="Times New Roman" w:cs="Times New Roman"/>
          <w:iCs/>
          <w:sz w:val="26"/>
          <w:szCs w:val="26"/>
        </w:rPr>
        <w:t>para la preparación y presentación de los mismos</w:t>
      </w:r>
      <w:r w:rsidRPr="00A2672B">
        <w:rPr>
          <w:rFonts w:ascii="Times New Roman" w:hAnsi="Times New Roman" w:cs="Times New Roman"/>
          <w:sz w:val="26"/>
          <w:szCs w:val="26"/>
        </w:rPr>
        <w:t>.</w:t>
      </w:r>
    </w:p>
    <w:p w:rsidR="001579BC" w:rsidRDefault="001579BC" w:rsidP="00801D62">
      <w:pPr>
        <w:autoSpaceDE w:val="0"/>
        <w:autoSpaceDN w:val="0"/>
        <w:adjustRightInd w:val="0"/>
        <w:spacing w:after="0" w:line="360" w:lineRule="auto"/>
        <w:jc w:val="both"/>
        <w:rPr>
          <w:rFonts w:ascii="Times New Roman" w:hAnsi="Times New Roman" w:cs="Times New Roman"/>
          <w:sz w:val="26"/>
          <w:szCs w:val="26"/>
        </w:rPr>
      </w:pPr>
    </w:p>
    <w:p w:rsidR="00D45C02" w:rsidRPr="00A2672B" w:rsidRDefault="00D45C02" w:rsidP="00801D62">
      <w:pPr>
        <w:autoSpaceDE w:val="0"/>
        <w:autoSpaceDN w:val="0"/>
        <w:adjustRightInd w:val="0"/>
        <w:spacing w:after="0" w:line="360" w:lineRule="auto"/>
        <w:jc w:val="both"/>
        <w:rPr>
          <w:rFonts w:ascii="Times New Roman" w:hAnsi="Times New Roman" w:cs="Times New Roman"/>
          <w:sz w:val="26"/>
          <w:szCs w:val="26"/>
        </w:rPr>
      </w:pPr>
      <w:r w:rsidRPr="00A2672B">
        <w:rPr>
          <w:rFonts w:ascii="Times New Roman" w:hAnsi="Times New Roman" w:cs="Times New Roman"/>
          <w:sz w:val="26"/>
          <w:szCs w:val="26"/>
        </w:rPr>
        <w:t>Las entidades utilizan estos conceptos para establecer los requerimientos relativos a la información financiera, a su vez proporciona</w:t>
      </w:r>
      <w:r w:rsidR="00F650B9" w:rsidRPr="00A2672B">
        <w:rPr>
          <w:rFonts w:ascii="Times New Roman" w:hAnsi="Times New Roman" w:cs="Times New Roman"/>
          <w:sz w:val="26"/>
          <w:szCs w:val="26"/>
        </w:rPr>
        <w:t xml:space="preserve"> información a los </w:t>
      </w:r>
      <w:r w:rsidRPr="00A2672B">
        <w:rPr>
          <w:rFonts w:ascii="Times New Roman" w:hAnsi="Times New Roman" w:cs="Times New Roman"/>
          <w:sz w:val="26"/>
          <w:szCs w:val="26"/>
        </w:rPr>
        <w:t xml:space="preserve">inversores, prestamistas y otros acreedores </w:t>
      </w:r>
      <w:r w:rsidR="00F650B9" w:rsidRPr="00A2672B">
        <w:rPr>
          <w:rFonts w:ascii="Times New Roman" w:hAnsi="Times New Roman" w:cs="Times New Roman"/>
          <w:sz w:val="26"/>
          <w:szCs w:val="26"/>
        </w:rPr>
        <w:t xml:space="preserve">a la hora de tomar decisiones </w:t>
      </w:r>
      <w:r w:rsidRPr="00A2672B">
        <w:rPr>
          <w:rFonts w:ascii="Times New Roman" w:hAnsi="Times New Roman" w:cs="Times New Roman"/>
          <w:sz w:val="26"/>
          <w:szCs w:val="26"/>
        </w:rPr>
        <w:t xml:space="preserve">sobre </w:t>
      </w:r>
      <w:r w:rsidR="00AD7115" w:rsidRPr="00A2672B">
        <w:rPr>
          <w:rFonts w:ascii="Times New Roman" w:hAnsi="Times New Roman" w:cs="Times New Roman"/>
          <w:sz w:val="26"/>
          <w:szCs w:val="26"/>
        </w:rPr>
        <w:t xml:space="preserve">los </w:t>
      </w:r>
      <w:r w:rsidRPr="00A2672B">
        <w:rPr>
          <w:rFonts w:ascii="Times New Roman" w:hAnsi="Times New Roman" w:cs="Times New Roman"/>
          <w:sz w:val="26"/>
          <w:szCs w:val="26"/>
        </w:rPr>
        <w:t xml:space="preserve">recursos </w:t>
      </w:r>
      <w:r w:rsidR="00AD7115" w:rsidRPr="00A2672B">
        <w:rPr>
          <w:rFonts w:ascii="Times New Roman" w:hAnsi="Times New Roman" w:cs="Times New Roman"/>
          <w:sz w:val="26"/>
          <w:szCs w:val="26"/>
        </w:rPr>
        <w:t>de la</w:t>
      </w:r>
      <w:r w:rsidRPr="00A2672B">
        <w:rPr>
          <w:rFonts w:ascii="Times New Roman" w:hAnsi="Times New Roman" w:cs="Times New Roman"/>
          <w:sz w:val="26"/>
          <w:szCs w:val="26"/>
        </w:rPr>
        <w:t xml:space="preserve"> entidad.</w:t>
      </w:r>
    </w:p>
    <w:p w:rsidR="00D45C02" w:rsidRPr="00A2672B" w:rsidRDefault="00D45C02" w:rsidP="00801D62">
      <w:pPr>
        <w:autoSpaceDE w:val="0"/>
        <w:autoSpaceDN w:val="0"/>
        <w:adjustRightInd w:val="0"/>
        <w:spacing w:after="0" w:line="360" w:lineRule="auto"/>
        <w:jc w:val="both"/>
        <w:rPr>
          <w:rFonts w:ascii="Times New Roman" w:hAnsi="Times New Roman" w:cs="Times New Roman"/>
          <w:sz w:val="26"/>
          <w:szCs w:val="26"/>
        </w:rPr>
      </w:pPr>
      <w:r w:rsidRPr="00A2672B">
        <w:rPr>
          <w:rFonts w:ascii="Times New Roman" w:hAnsi="Times New Roman" w:cs="Times New Roman"/>
          <w:sz w:val="26"/>
          <w:szCs w:val="26"/>
        </w:rPr>
        <w:t>El objetivo de los estados financieros es proporcionar información sobre la situación f</w:t>
      </w:r>
      <w:r w:rsidR="00F650B9" w:rsidRPr="00A2672B">
        <w:rPr>
          <w:rFonts w:ascii="Times New Roman" w:hAnsi="Times New Roman" w:cs="Times New Roman"/>
          <w:sz w:val="26"/>
          <w:szCs w:val="26"/>
        </w:rPr>
        <w:t xml:space="preserve">inanciera, el rendimiento y los </w:t>
      </w:r>
      <w:r w:rsidRPr="00A2672B">
        <w:rPr>
          <w:rFonts w:ascii="Times New Roman" w:hAnsi="Times New Roman" w:cs="Times New Roman"/>
          <w:sz w:val="26"/>
          <w:szCs w:val="26"/>
        </w:rPr>
        <w:t>flujos de efectivo de la entidad que sea útil para la toma de decisiones</w:t>
      </w:r>
      <w:r w:rsidR="00A2672B">
        <w:rPr>
          <w:rFonts w:ascii="Times New Roman" w:hAnsi="Times New Roman" w:cs="Times New Roman"/>
          <w:sz w:val="26"/>
          <w:szCs w:val="26"/>
        </w:rPr>
        <w:t xml:space="preserve"> financieras.</w:t>
      </w:r>
    </w:p>
    <w:p w:rsidR="00E91025" w:rsidRPr="00AD7115" w:rsidRDefault="00E91025" w:rsidP="00801D62">
      <w:pPr>
        <w:pStyle w:val="Textbody"/>
        <w:spacing w:after="0" w:line="360" w:lineRule="auto"/>
        <w:rPr>
          <w:rFonts w:ascii="Times New Roman" w:hAnsi="Times New Roman" w:cs="Times New Roman"/>
          <w:bCs/>
          <w:szCs w:val="28"/>
        </w:rPr>
      </w:pPr>
    </w:p>
    <w:p w:rsidR="00E91025" w:rsidRDefault="00E91025" w:rsidP="00801D62">
      <w:pPr>
        <w:pStyle w:val="Textbody"/>
        <w:spacing w:after="0" w:line="360" w:lineRule="auto"/>
        <w:rPr>
          <w:rFonts w:ascii="Times New Roman" w:hAnsi="Times New Roman" w:cs="Times New Roman"/>
          <w:b/>
          <w:bCs/>
          <w:sz w:val="28"/>
          <w:szCs w:val="28"/>
        </w:rPr>
      </w:pPr>
    </w:p>
    <w:p w:rsidR="00E91025" w:rsidRDefault="00E91025" w:rsidP="00801D62">
      <w:pPr>
        <w:pStyle w:val="Textbody"/>
        <w:spacing w:after="0" w:line="360" w:lineRule="auto"/>
        <w:rPr>
          <w:rFonts w:ascii="Times New Roman" w:hAnsi="Times New Roman" w:cs="Times New Roman"/>
          <w:b/>
          <w:bCs/>
          <w:sz w:val="28"/>
          <w:szCs w:val="28"/>
        </w:rPr>
      </w:pPr>
    </w:p>
    <w:p w:rsidR="00E91025" w:rsidRDefault="00E91025" w:rsidP="00801D62">
      <w:pPr>
        <w:pStyle w:val="Textbody"/>
        <w:spacing w:after="0" w:line="360" w:lineRule="auto"/>
        <w:rPr>
          <w:rFonts w:ascii="Times New Roman" w:hAnsi="Times New Roman" w:cs="Times New Roman"/>
          <w:b/>
          <w:bCs/>
          <w:sz w:val="28"/>
          <w:szCs w:val="28"/>
        </w:rPr>
      </w:pPr>
    </w:p>
    <w:p w:rsidR="00E91025" w:rsidRDefault="00E91025" w:rsidP="00801D62">
      <w:pPr>
        <w:pStyle w:val="Textbody"/>
        <w:spacing w:after="0" w:line="360" w:lineRule="auto"/>
        <w:rPr>
          <w:rFonts w:ascii="Times New Roman" w:hAnsi="Times New Roman" w:cs="Times New Roman"/>
          <w:b/>
          <w:bCs/>
          <w:sz w:val="28"/>
          <w:szCs w:val="28"/>
        </w:rPr>
      </w:pPr>
    </w:p>
    <w:p w:rsidR="00E91025" w:rsidRDefault="00E91025" w:rsidP="00801D62">
      <w:pPr>
        <w:pStyle w:val="Textbody"/>
        <w:spacing w:after="0" w:line="360" w:lineRule="auto"/>
        <w:rPr>
          <w:rFonts w:ascii="Times New Roman" w:hAnsi="Times New Roman" w:cs="Times New Roman"/>
          <w:b/>
          <w:bCs/>
          <w:sz w:val="28"/>
          <w:szCs w:val="28"/>
        </w:rPr>
      </w:pPr>
    </w:p>
    <w:p w:rsidR="00E91025" w:rsidRDefault="00E91025" w:rsidP="00801D62">
      <w:pPr>
        <w:pStyle w:val="Textbody"/>
        <w:spacing w:after="0" w:line="360" w:lineRule="auto"/>
        <w:rPr>
          <w:rFonts w:ascii="Times New Roman" w:hAnsi="Times New Roman" w:cs="Times New Roman"/>
          <w:b/>
          <w:bCs/>
          <w:sz w:val="28"/>
          <w:szCs w:val="28"/>
        </w:rPr>
      </w:pPr>
    </w:p>
    <w:p w:rsidR="00E91025" w:rsidRDefault="00E91025" w:rsidP="00801D62">
      <w:pPr>
        <w:pStyle w:val="Textbody"/>
        <w:spacing w:after="0" w:line="360" w:lineRule="auto"/>
        <w:rPr>
          <w:rFonts w:ascii="Times New Roman" w:hAnsi="Times New Roman" w:cs="Times New Roman"/>
          <w:b/>
          <w:bCs/>
          <w:sz w:val="28"/>
          <w:szCs w:val="28"/>
        </w:rPr>
      </w:pPr>
    </w:p>
    <w:p w:rsidR="00E91025" w:rsidRDefault="00E91025" w:rsidP="00801D62">
      <w:pPr>
        <w:pStyle w:val="Textbody"/>
        <w:spacing w:after="0" w:line="360" w:lineRule="auto"/>
        <w:rPr>
          <w:rFonts w:ascii="Times New Roman" w:hAnsi="Times New Roman" w:cs="Times New Roman"/>
          <w:b/>
          <w:bCs/>
          <w:sz w:val="28"/>
          <w:szCs w:val="28"/>
        </w:rPr>
      </w:pPr>
    </w:p>
    <w:p w:rsidR="00A2672B" w:rsidRDefault="00A2672B" w:rsidP="00801D62">
      <w:pPr>
        <w:pStyle w:val="Textbody"/>
        <w:spacing w:after="0" w:line="360" w:lineRule="auto"/>
        <w:rPr>
          <w:rFonts w:ascii="Times New Roman" w:hAnsi="Times New Roman" w:cs="Times New Roman"/>
          <w:b/>
          <w:bCs/>
          <w:sz w:val="28"/>
          <w:szCs w:val="28"/>
        </w:rPr>
      </w:pPr>
    </w:p>
    <w:p w:rsidR="00A56353" w:rsidRPr="008D3154" w:rsidRDefault="00A56353" w:rsidP="00801D62">
      <w:pPr>
        <w:pStyle w:val="Textbody"/>
        <w:spacing w:after="0" w:line="360" w:lineRule="auto"/>
        <w:rPr>
          <w:rFonts w:ascii="Times New Roman" w:hAnsi="Times New Roman" w:cs="Times New Roman"/>
          <w:b/>
          <w:bCs/>
          <w:sz w:val="28"/>
          <w:szCs w:val="28"/>
        </w:rPr>
      </w:pPr>
      <w:r w:rsidRPr="008D3154">
        <w:rPr>
          <w:rFonts w:ascii="Times New Roman" w:hAnsi="Times New Roman" w:cs="Times New Roman"/>
          <w:b/>
          <w:bCs/>
          <w:sz w:val="28"/>
          <w:szCs w:val="28"/>
        </w:rPr>
        <w:t xml:space="preserve">OBJETIVO GENERAL </w:t>
      </w:r>
    </w:p>
    <w:p w:rsidR="001579BC" w:rsidRDefault="001579BC" w:rsidP="00801D62">
      <w:pPr>
        <w:pStyle w:val="Textbody"/>
        <w:numPr>
          <w:ilvl w:val="0"/>
          <w:numId w:val="1"/>
        </w:numPr>
        <w:spacing w:after="0" w:line="360" w:lineRule="auto"/>
        <w:jc w:val="both"/>
        <w:rPr>
          <w:rFonts w:ascii="Times New Roman" w:hAnsi="Times New Roman" w:cs="Times New Roman"/>
          <w:bCs/>
          <w:szCs w:val="28"/>
        </w:rPr>
      </w:pPr>
      <w:r>
        <w:rPr>
          <w:rFonts w:ascii="Times New Roman" w:hAnsi="Times New Roman" w:cs="Times New Roman"/>
        </w:rPr>
        <w:t xml:space="preserve">Investigar y analizar las </w:t>
      </w:r>
      <w:r>
        <w:rPr>
          <w:rFonts w:ascii="Times New Roman" w:hAnsi="Times New Roman" w:cs="Times New Roman"/>
          <w:bCs/>
          <w:szCs w:val="28"/>
        </w:rPr>
        <w:t xml:space="preserve">NIIF, Principios y Limitaciones de los Estados Financieros para preparar una información financiera de calidad. </w:t>
      </w:r>
    </w:p>
    <w:p w:rsidR="00A56353" w:rsidRPr="00F713E7" w:rsidRDefault="00A56353" w:rsidP="00801D62">
      <w:pPr>
        <w:pStyle w:val="Textbody"/>
        <w:spacing w:after="0" w:line="360" w:lineRule="auto"/>
        <w:ind w:left="720"/>
        <w:jc w:val="both"/>
        <w:rPr>
          <w:rFonts w:ascii="Times New Roman" w:hAnsi="Times New Roman" w:cs="Times New Roman"/>
          <w:b/>
          <w:bCs/>
          <w:sz w:val="28"/>
          <w:szCs w:val="28"/>
        </w:rPr>
      </w:pPr>
    </w:p>
    <w:p w:rsidR="00A56353" w:rsidRDefault="00A56353" w:rsidP="00801D62">
      <w:pPr>
        <w:pStyle w:val="Textbody"/>
        <w:spacing w:after="0" w:line="360" w:lineRule="auto"/>
        <w:ind w:left="720"/>
        <w:jc w:val="both"/>
        <w:rPr>
          <w:rFonts w:ascii="Times New Roman" w:hAnsi="Times New Roman" w:cs="Times New Roman"/>
          <w:b/>
          <w:bCs/>
          <w:sz w:val="28"/>
          <w:szCs w:val="28"/>
        </w:rPr>
      </w:pPr>
    </w:p>
    <w:p w:rsidR="00A56353" w:rsidRDefault="00A56353" w:rsidP="00801D62">
      <w:pPr>
        <w:pStyle w:val="Textbody"/>
        <w:spacing w:after="0" w:line="360" w:lineRule="auto"/>
        <w:rPr>
          <w:rFonts w:ascii="Times New Roman" w:hAnsi="Times New Roman" w:cs="Times New Roman"/>
          <w:b/>
          <w:bCs/>
          <w:sz w:val="28"/>
          <w:szCs w:val="28"/>
        </w:rPr>
      </w:pPr>
      <w:r w:rsidRPr="008D3154">
        <w:rPr>
          <w:rFonts w:ascii="Times New Roman" w:hAnsi="Times New Roman" w:cs="Times New Roman"/>
          <w:b/>
          <w:bCs/>
          <w:sz w:val="28"/>
          <w:szCs w:val="28"/>
        </w:rPr>
        <w:t>OBJETIVOS ESPECIFICOS</w:t>
      </w:r>
    </w:p>
    <w:p w:rsidR="00A56353" w:rsidRPr="008D3154" w:rsidRDefault="00A56353" w:rsidP="00801D62">
      <w:pPr>
        <w:pStyle w:val="Textbody"/>
        <w:spacing w:after="0" w:line="360" w:lineRule="auto"/>
        <w:rPr>
          <w:rFonts w:ascii="Times New Roman" w:hAnsi="Times New Roman" w:cs="Times New Roman"/>
          <w:b/>
          <w:bCs/>
          <w:sz w:val="28"/>
          <w:szCs w:val="28"/>
        </w:rPr>
      </w:pPr>
    </w:p>
    <w:p w:rsidR="00A56353" w:rsidRDefault="00A56353" w:rsidP="00801D62">
      <w:pPr>
        <w:pStyle w:val="Textbody"/>
        <w:numPr>
          <w:ilvl w:val="0"/>
          <w:numId w:val="1"/>
        </w:numPr>
        <w:spacing w:after="0" w:line="360" w:lineRule="auto"/>
        <w:jc w:val="both"/>
        <w:rPr>
          <w:rFonts w:ascii="Times New Roman" w:hAnsi="Times New Roman" w:cs="Times New Roman"/>
          <w:bCs/>
          <w:szCs w:val="28"/>
        </w:rPr>
      </w:pPr>
      <w:r w:rsidRPr="00F713E7">
        <w:rPr>
          <w:rFonts w:ascii="Times New Roman" w:hAnsi="Times New Roman" w:cs="Times New Roman"/>
          <w:bCs/>
          <w:szCs w:val="28"/>
        </w:rPr>
        <w:t xml:space="preserve">Recopilar toda la información referente </w:t>
      </w:r>
      <w:r>
        <w:rPr>
          <w:rFonts w:ascii="Times New Roman" w:hAnsi="Times New Roman" w:cs="Times New Roman"/>
          <w:bCs/>
          <w:szCs w:val="28"/>
        </w:rPr>
        <w:t xml:space="preserve">a NIIF, Principios y Limitaciones de los Estados Financieros  </w:t>
      </w:r>
    </w:p>
    <w:p w:rsidR="00A56353" w:rsidRPr="00F713E7" w:rsidRDefault="00A56353" w:rsidP="00801D62">
      <w:pPr>
        <w:pStyle w:val="Textbody"/>
        <w:numPr>
          <w:ilvl w:val="0"/>
          <w:numId w:val="1"/>
        </w:numPr>
        <w:spacing w:after="0" w:line="360" w:lineRule="auto"/>
        <w:jc w:val="both"/>
        <w:rPr>
          <w:rFonts w:ascii="Times New Roman" w:hAnsi="Times New Roman" w:cs="Times New Roman"/>
          <w:bCs/>
          <w:szCs w:val="28"/>
        </w:rPr>
      </w:pPr>
      <w:r>
        <w:rPr>
          <w:rFonts w:ascii="Times New Roman" w:hAnsi="Times New Roman" w:cs="Times New Roman"/>
          <w:bCs/>
          <w:szCs w:val="28"/>
        </w:rPr>
        <w:t>Ejemplificar</w:t>
      </w:r>
      <w:r w:rsidRPr="00F713E7">
        <w:rPr>
          <w:rFonts w:ascii="Times New Roman" w:hAnsi="Times New Roman" w:cs="Times New Roman"/>
          <w:bCs/>
          <w:szCs w:val="28"/>
        </w:rPr>
        <w:t xml:space="preserve"> cada uno de </w:t>
      </w:r>
      <w:r>
        <w:rPr>
          <w:rFonts w:ascii="Times New Roman" w:hAnsi="Times New Roman" w:cs="Times New Roman"/>
          <w:bCs/>
          <w:szCs w:val="28"/>
        </w:rPr>
        <w:t>las normas, principios y limitaciones</w:t>
      </w:r>
      <w:r w:rsidRPr="00F713E7">
        <w:rPr>
          <w:rFonts w:ascii="Times New Roman" w:hAnsi="Times New Roman" w:cs="Times New Roman"/>
          <w:bCs/>
          <w:szCs w:val="28"/>
        </w:rPr>
        <w:t xml:space="preserve"> que regulan el manejo de </w:t>
      </w:r>
      <w:r>
        <w:rPr>
          <w:rFonts w:ascii="Times New Roman" w:hAnsi="Times New Roman" w:cs="Times New Roman"/>
          <w:bCs/>
          <w:szCs w:val="28"/>
        </w:rPr>
        <w:t>los estados financieros</w:t>
      </w:r>
      <w:r w:rsidRPr="00F713E7">
        <w:rPr>
          <w:rFonts w:ascii="Times New Roman" w:hAnsi="Times New Roman" w:cs="Times New Roman"/>
          <w:bCs/>
          <w:szCs w:val="28"/>
        </w:rPr>
        <w:t>.</w:t>
      </w:r>
    </w:p>
    <w:p w:rsidR="00A56353" w:rsidRDefault="00A56353" w:rsidP="00801D62">
      <w:pPr>
        <w:pStyle w:val="Textbody"/>
        <w:numPr>
          <w:ilvl w:val="0"/>
          <w:numId w:val="1"/>
        </w:numPr>
        <w:spacing w:after="0" w:line="360" w:lineRule="auto"/>
        <w:jc w:val="both"/>
        <w:rPr>
          <w:rFonts w:ascii="Times New Roman" w:hAnsi="Times New Roman" w:cs="Times New Roman"/>
          <w:bCs/>
          <w:szCs w:val="28"/>
        </w:rPr>
      </w:pPr>
      <w:r>
        <w:rPr>
          <w:rFonts w:ascii="Times New Roman" w:hAnsi="Times New Roman" w:cs="Times New Roman"/>
          <w:bCs/>
          <w:szCs w:val="28"/>
        </w:rPr>
        <w:t>Presentar</w:t>
      </w:r>
      <w:r w:rsidR="00E91025">
        <w:rPr>
          <w:rFonts w:ascii="Times New Roman" w:hAnsi="Times New Roman" w:cs="Times New Roman"/>
          <w:bCs/>
          <w:szCs w:val="28"/>
        </w:rPr>
        <w:t xml:space="preserve"> </w:t>
      </w:r>
      <w:r>
        <w:rPr>
          <w:rFonts w:ascii="Times New Roman" w:hAnsi="Times New Roman" w:cs="Times New Roman"/>
          <w:bCs/>
          <w:szCs w:val="28"/>
        </w:rPr>
        <w:t xml:space="preserve"> la información del tema investigado</w:t>
      </w:r>
      <w:r w:rsidRPr="008D3154">
        <w:rPr>
          <w:rFonts w:ascii="Times New Roman" w:hAnsi="Times New Roman" w:cs="Times New Roman"/>
          <w:bCs/>
          <w:szCs w:val="28"/>
        </w:rPr>
        <w:t>.</w:t>
      </w:r>
    </w:p>
    <w:p w:rsidR="00A56353" w:rsidRPr="008D3154" w:rsidRDefault="00A56353" w:rsidP="00801D62">
      <w:pPr>
        <w:pStyle w:val="Textbody"/>
        <w:spacing w:after="0" w:line="360" w:lineRule="auto"/>
        <w:ind w:left="720"/>
        <w:jc w:val="both"/>
        <w:rPr>
          <w:rFonts w:ascii="Times New Roman" w:hAnsi="Times New Roman" w:cs="Times New Roman"/>
          <w:bCs/>
          <w:szCs w:val="28"/>
        </w:rPr>
      </w:pPr>
    </w:p>
    <w:p w:rsidR="00A56353" w:rsidRDefault="00A56353" w:rsidP="00801D62">
      <w:pPr>
        <w:spacing w:line="360" w:lineRule="auto"/>
        <w:jc w:val="center"/>
        <w:rPr>
          <w:rFonts w:ascii="Times New Roman" w:hAnsi="Times New Roman" w:cs="Times New Roman"/>
          <w:b/>
          <w:sz w:val="28"/>
        </w:rPr>
      </w:pPr>
    </w:p>
    <w:p w:rsidR="00A56353" w:rsidRDefault="00A56353" w:rsidP="00801D62">
      <w:pPr>
        <w:spacing w:line="360" w:lineRule="auto"/>
        <w:jc w:val="center"/>
        <w:rPr>
          <w:rFonts w:ascii="Times New Roman" w:hAnsi="Times New Roman" w:cs="Times New Roman"/>
          <w:b/>
          <w:sz w:val="28"/>
        </w:rPr>
      </w:pPr>
    </w:p>
    <w:p w:rsidR="00A56353" w:rsidRDefault="00A56353" w:rsidP="00801D62">
      <w:pPr>
        <w:spacing w:line="360" w:lineRule="auto"/>
        <w:jc w:val="center"/>
        <w:rPr>
          <w:rFonts w:ascii="Times New Roman" w:hAnsi="Times New Roman" w:cs="Times New Roman"/>
          <w:b/>
          <w:sz w:val="28"/>
        </w:rPr>
      </w:pPr>
    </w:p>
    <w:p w:rsidR="00E91025" w:rsidRDefault="00E91025" w:rsidP="00801D62">
      <w:pPr>
        <w:spacing w:line="360" w:lineRule="auto"/>
        <w:jc w:val="center"/>
        <w:rPr>
          <w:rFonts w:ascii="Times New Roman" w:hAnsi="Times New Roman" w:cs="Times New Roman"/>
          <w:b/>
          <w:sz w:val="28"/>
        </w:rPr>
      </w:pPr>
    </w:p>
    <w:p w:rsidR="00E91025" w:rsidRDefault="00E91025" w:rsidP="00801D62">
      <w:pPr>
        <w:spacing w:line="360" w:lineRule="auto"/>
        <w:jc w:val="center"/>
        <w:rPr>
          <w:rFonts w:ascii="Times New Roman" w:hAnsi="Times New Roman" w:cs="Times New Roman"/>
          <w:b/>
          <w:sz w:val="28"/>
        </w:rPr>
      </w:pPr>
    </w:p>
    <w:p w:rsidR="00E91025" w:rsidRDefault="00E91025" w:rsidP="00801D62">
      <w:pPr>
        <w:spacing w:line="360" w:lineRule="auto"/>
        <w:jc w:val="center"/>
        <w:rPr>
          <w:rFonts w:ascii="Times New Roman" w:hAnsi="Times New Roman" w:cs="Times New Roman"/>
          <w:b/>
          <w:sz w:val="28"/>
        </w:rPr>
      </w:pPr>
    </w:p>
    <w:p w:rsidR="00E91025" w:rsidRDefault="00E91025" w:rsidP="00801D62">
      <w:pPr>
        <w:spacing w:line="360" w:lineRule="auto"/>
        <w:jc w:val="center"/>
        <w:rPr>
          <w:rFonts w:ascii="Times New Roman" w:hAnsi="Times New Roman" w:cs="Times New Roman"/>
          <w:b/>
          <w:sz w:val="28"/>
        </w:rPr>
      </w:pPr>
    </w:p>
    <w:p w:rsidR="00E91025" w:rsidRDefault="00E91025" w:rsidP="00801D62">
      <w:pPr>
        <w:spacing w:line="360" w:lineRule="auto"/>
        <w:jc w:val="center"/>
        <w:rPr>
          <w:rFonts w:ascii="Times New Roman" w:hAnsi="Times New Roman" w:cs="Times New Roman"/>
          <w:b/>
          <w:sz w:val="28"/>
        </w:rPr>
      </w:pPr>
    </w:p>
    <w:p w:rsidR="00E91025" w:rsidRDefault="00E91025" w:rsidP="00801D62">
      <w:pPr>
        <w:spacing w:line="360" w:lineRule="auto"/>
        <w:rPr>
          <w:rFonts w:ascii="Times New Roman" w:hAnsi="Times New Roman" w:cs="Times New Roman"/>
          <w:b/>
          <w:sz w:val="28"/>
        </w:rPr>
      </w:pPr>
    </w:p>
    <w:p w:rsidR="00801D62" w:rsidRDefault="00801D62" w:rsidP="00801D62">
      <w:pPr>
        <w:spacing w:line="360" w:lineRule="auto"/>
        <w:rPr>
          <w:rFonts w:ascii="Times New Roman" w:hAnsi="Times New Roman" w:cs="Times New Roman"/>
          <w:b/>
          <w:sz w:val="28"/>
        </w:rPr>
      </w:pPr>
    </w:p>
    <w:p w:rsidR="00A56353" w:rsidRPr="00204CEA" w:rsidRDefault="00A56353" w:rsidP="00801D62">
      <w:pPr>
        <w:spacing w:line="360" w:lineRule="auto"/>
        <w:jc w:val="center"/>
        <w:rPr>
          <w:rFonts w:ascii="Times New Roman" w:hAnsi="Times New Roman" w:cs="Times New Roman"/>
          <w:b/>
          <w:sz w:val="28"/>
          <w:szCs w:val="24"/>
        </w:rPr>
      </w:pPr>
      <w:r w:rsidRPr="00204CEA">
        <w:rPr>
          <w:rFonts w:ascii="Times New Roman" w:hAnsi="Times New Roman" w:cs="Times New Roman"/>
          <w:b/>
          <w:sz w:val="28"/>
          <w:szCs w:val="24"/>
        </w:rPr>
        <w:lastRenderedPageBreak/>
        <w:t>NORMATIVAS DE ESTADOS FINANCIEROS</w:t>
      </w:r>
    </w:p>
    <w:p w:rsidR="00835270" w:rsidRPr="00204CEA" w:rsidRDefault="00835270" w:rsidP="00801D62">
      <w:pPr>
        <w:spacing w:line="360" w:lineRule="auto"/>
        <w:jc w:val="center"/>
        <w:rPr>
          <w:rFonts w:ascii="Times New Roman" w:hAnsi="Times New Roman" w:cs="Times New Roman"/>
          <w:b/>
          <w:sz w:val="28"/>
          <w:szCs w:val="24"/>
        </w:rPr>
      </w:pPr>
      <w:r w:rsidRPr="00204CEA">
        <w:rPr>
          <w:rFonts w:ascii="Times New Roman" w:hAnsi="Times New Roman" w:cs="Times New Roman"/>
          <w:b/>
          <w:sz w:val="28"/>
          <w:szCs w:val="24"/>
        </w:rPr>
        <w:t>NORMAS INTERNACIONALES DE INFORMACIÓN FINANCIERA (NIIF)</w:t>
      </w:r>
    </w:p>
    <w:p w:rsidR="00835270" w:rsidRPr="00204CEA" w:rsidRDefault="00835270" w:rsidP="00801D62">
      <w:pPr>
        <w:spacing w:line="360" w:lineRule="auto"/>
        <w:jc w:val="both"/>
        <w:rPr>
          <w:rFonts w:ascii="Times New Roman" w:hAnsi="Times New Roman" w:cs="Times New Roman"/>
          <w:b/>
          <w:color w:val="0070C0"/>
          <w:sz w:val="28"/>
          <w:szCs w:val="24"/>
        </w:rPr>
      </w:pPr>
      <w:r w:rsidRPr="00204CEA">
        <w:rPr>
          <w:rFonts w:ascii="Times New Roman" w:hAnsi="Times New Roman" w:cs="Times New Roman"/>
          <w:b/>
          <w:color w:val="0070C0"/>
          <w:sz w:val="28"/>
          <w:szCs w:val="24"/>
        </w:rPr>
        <w:t>NIIF N°1. ADOPCIÓN POR PRIMERA VEZ DE LAS NORMAS INTERNACIONALES DE INFORMACIÓN FINANCIERA.</w:t>
      </w:r>
    </w:p>
    <w:p w:rsidR="00835270" w:rsidRPr="00204CEA" w:rsidRDefault="00835270" w:rsidP="00801D62">
      <w:pPr>
        <w:spacing w:line="360" w:lineRule="auto"/>
        <w:jc w:val="both"/>
        <w:rPr>
          <w:rFonts w:ascii="Times New Roman" w:hAnsi="Times New Roman" w:cs="Times New Roman"/>
          <w:b/>
          <w:sz w:val="24"/>
          <w:szCs w:val="24"/>
        </w:rPr>
      </w:pPr>
      <w:r w:rsidRPr="00204CEA">
        <w:rPr>
          <w:rFonts w:ascii="Times New Roman" w:hAnsi="Times New Roman" w:cs="Times New Roman"/>
          <w:b/>
          <w:sz w:val="24"/>
          <w:szCs w:val="24"/>
        </w:rPr>
        <w:t>OJETIVO</w:t>
      </w:r>
    </w:p>
    <w:p w:rsidR="00835270" w:rsidRPr="00204CEA" w:rsidRDefault="00204CEA" w:rsidP="00801D62">
      <w:pPr>
        <w:spacing w:line="360" w:lineRule="auto"/>
        <w:jc w:val="both"/>
        <w:rPr>
          <w:rFonts w:ascii="Times New Roman" w:hAnsi="Times New Roman" w:cs="Times New Roman"/>
          <w:sz w:val="24"/>
          <w:szCs w:val="24"/>
        </w:rPr>
      </w:pPr>
      <w:r>
        <w:rPr>
          <w:rFonts w:ascii="Times New Roman" w:hAnsi="Times New Roman" w:cs="Times New Roman"/>
          <w:sz w:val="24"/>
          <w:szCs w:val="24"/>
        </w:rPr>
        <w:t>“</w:t>
      </w:r>
      <w:r w:rsidR="00835270" w:rsidRPr="00204CEA">
        <w:rPr>
          <w:rFonts w:ascii="Times New Roman" w:hAnsi="Times New Roman" w:cs="Times New Roman"/>
          <w:sz w:val="24"/>
          <w:szCs w:val="24"/>
        </w:rPr>
        <w:t>El objetivo de esta NIIF es asegurar que los primeros estados financieros con arreglo a las NIIF de una entidad, así como sus informes financieros intermedios, relativos a una parte del ejercicio cubierto por tales estados financieros, contienen información de alta calidad que:</w:t>
      </w:r>
    </w:p>
    <w:p w:rsidR="00835270" w:rsidRPr="00204CEA" w:rsidRDefault="00835270" w:rsidP="00801D62">
      <w:pPr>
        <w:pStyle w:val="Prrafodelista"/>
        <w:numPr>
          <w:ilvl w:val="0"/>
          <w:numId w:val="6"/>
        </w:numPr>
        <w:spacing w:line="360" w:lineRule="auto"/>
        <w:jc w:val="both"/>
        <w:rPr>
          <w:rFonts w:ascii="Times New Roman" w:hAnsi="Times New Roman" w:cs="Times New Roman"/>
          <w:sz w:val="24"/>
          <w:szCs w:val="24"/>
        </w:rPr>
      </w:pPr>
      <w:r w:rsidRPr="00204CEA">
        <w:rPr>
          <w:rFonts w:ascii="Times New Roman" w:hAnsi="Times New Roman" w:cs="Times New Roman"/>
          <w:sz w:val="24"/>
          <w:szCs w:val="24"/>
        </w:rPr>
        <w:t>Sea transparente para los usuarios y comparables para todos los ejercicios que se presenten;</w:t>
      </w:r>
    </w:p>
    <w:p w:rsidR="00835270" w:rsidRPr="00204CEA" w:rsidRDefault="00835270" w:rsidP="00801D62">
      <w:pPr>
        <w:pStyle w:val="Prrafodelista"/>
        <w:numPr>
          <w:ilvl w:val="0"/>
          <w:numId w:val="6"/>
        </w:numPr>
        <w:spacing w:line="360" w:lineRule="auto"/>
        <w:jc w:val="both"/>
        <w:rPr>
          <w:rFonts w:ascii="Times New Roman" w:hAnsi="Times New Roman" w:cs="Times New Roman"/>
          <w:sz w:val="24"/>
          <w:szCs w:val="24"/>
        </w:rPr>
      </w:pPr>
      <w:r w:rsidRPr="00204CEA">
        <w:rPr>
          <w:rFonts w:ascii="Times New Roman" w:hAnsi="Times New Roman" w:cs="Times New Roman"/>
          <w:sz w:val="24"/>
          <w:szCs w:val="24"/>
        </w:rPr>
        <w:t>Suministre un punto de partida adecuada para la contabilización según las Normas Internacionales de Información Financiera (NIIF); y</w:t>
      </w:r>
    </w:p>
    <w:p w:rsidR="00835270" w:rsidRPr="00204CEA" w:rsidRDefault="00835270" w:rsidP="00801D62">
      <w:pPr>
        <w:pStyle w:val="Prrafodelista"/>
        <w:numPr>
          <w:ilvl w:val="0"/>
          <w:numId w:val="6"/>
        </w:numPr>
        <w:spacing w:line="360" w:lineRule="auto"/>
        <w:jc w:val="both"/>
        <w:rPr>
          <w:rFonts w:ascii="Times New Roman" w:hAnsi="Times New Roman" w:cs="Times New Roman"/>
          <w:sz w:val="24"/>
          <w:szCs w:val="24"/>
        </w:rPr>
      </w:pPr>
      <w:r w:rsidRPr="00204CEA">
        <w:rPr>
          <w:rFonts w:ascii="Times New Roman" w:hAnsi="Times New Roman" w:cs="Times New Roman"/>
          <w:sz w:val="24"/>
          <w:szCs w:val="24"/>
        </w:rPr>
        <w:t xml:space="preserve">Pude ser obtenida a un coste que no exceda a los beneficios proporcionados a los usuarios. </w:t>
      </w:r>
    </w:p>
    <w:p w:rsidR="00835270" w:rsidRPr="00204CEA" w:rsidRDefault="00835270" w:rsidP="00801D62">
      <w:pPr>
        <w:spacing w:line="360" w:lineRule="auto"/>
        <w:jc w:val="both"/>
        <w:rPr>
          <w:rFonts w:ascii="Times New Roman" w:hAnsi="Times New Roman" w:cs="Times New Roman"/>
          <w:b/>
          <w:sz w:val="24"/>
          <w:szCs w:val="24"/>
        </w:rPr>
      </w:pPr>
      <w:r w:rsidRPr="00204CEA">
        <w:rPr>
          <w:rFonts w:ascii="Times New Roman" w:hAnsi="Times New Roman" w:cs="Times New Roman"/>
          <w:b/>
          <w:sz w:val="24"/>
          <w:szCs w:val="24"/>
        </w:rPr>
        <w:t>ALCANCE</w:t>
      </w:r>
    </w:p>
    <w:p w:rsidR="00835270" w:rsidRPr="00204CEA" w:rsidRDefault="00835270" w:rsidP="00801D62">
      <w:pPr>
        <w:spacing w:line="360" w:lineRule="auto"/>
        <w:jc w:val="both"/>
        <w:rPr>
          <w:rFonts w:ascii="Times New Roman" w:hAnsi="Times New Roman" w:cs="Times New Roman"/>
          <w:sz w:val="24"/>
          <w:szCs w:val="24"/>
        </w:rPr>
      </w:pPr>
      <w:r w:rsidRPr="00204CEA">
        <w:rPr>
          <w:rFonts w:ascii="Times New Roman" w:hAnsi="Times New Roman" w:cs="Times New Roman"/>
          <w:sz w:val="24"/>
          <w:szCs w:val="24"/>
        </w:rPr>
        <w:t xml:space="preserve">Una entidad aplicará esta NIIF </w:t>
      </w:r>
      <w:proofErr w:type="gramStart"/>
      <w:r w:rsidRPr="00204CEA">
        <w:rPr>
          <w:rFonts w:ascii="Times New Roman" w:hAnsi="Times New Roman" w:cs="Times New Roman"/>
          <w:sz w:val="24"/>
          <w:szCs w:val="24"/>
        </w:rPr>
        <w:t>en :</w:t>
      </w:r>
      <w:proofErr w:type="gramEnd"/>
    </w:p>
    <w:p w:rsidR="00835270" w:rsidRPr="00204CEA" w:rsidRDefault="000F29AC" w:rsidP="00801D62">
      <w:pPr>
        <w:pStyle w:val="Prrafodelista"/>
        <w:numPr>
          <w:ilvl w:val="0"/>
          <w:numId w:val="7"/>
        </w:numPr>
        <w:spacing w:line="360" w:lineRule="auto"/>
        <w:jc w:val="both"/>
        <w:rPr>
          <w:rFonts w:ascii="Times New Roman" w:hAnsi="Times New Roman" w:cs="Times New Roman"/>
          <w:sz w:val="24"/>
          <w:szCs w:val="24"/>
        </w:rPr>
      </w:pPr>
      <w:r w:rsidRPr="00204CEA">
        <w:rPr>
          <w:rFonts w:ascii="Times New Roman" w:hAnsi="Times New Roman" w:cs="Times New Roman"/>
          <w:sz w:val="24"/>
          <w:szCs w:val="24"/>
        </w:rPr>
        <w:t xml:space="preserve">Sus primeros estados financieros con arreglo a las NIIF; y </w:t>
      </w:r>
    </w:p>
    <w:p w:rsidR="000F29AC" w:rsidRPr="00204CEA" w:rsidRDefault="000F29AC" w:rsidP="00801D62">
      <w:pPr>
        <w:pStyle w:val="Prrafodelista"/>
        <w:numPr>
          <w:ilvl w:val="0"/>
          <w:numId w:val="7"/>
        </w:numPr>
        <w:spacing w:line="360" w:lineRule="auto"/>
        <w:jc w:val="both"/>
        <w:rPr>
          <w:rFonts w:ascii="Times New Roman" w:hAnsi="Times New Roman" w:cs="Times New Roman"/>
          <w:sz w:val="24"/>
          <w:szCs w:val="24"/>
        </w:rPr>
      </w:pPr>
      <w:r w:rsidRPr="00204CEA">
        <w:rPr>
          <w:rFonts w:ascii="Times New Roman" w:hAnsi="Times New Roman" w:cs="Times New Roman"/>
          <w:sz w:val="24"/>
          <w:szCs w:val="24"/>
        </w:rPr>
        <w:t>En cada informe financiero intermedio que, en su caso, presente de acuerdo con la NIC 34.</w:t>
      </w:r>
    </w:p>
    <w:p w:rsidR="000F29AC" w:rsidRPr="00204CEA" w:rsidRDefault="000F29AC" w:rsidP="00801D62">
      <w:pPr>
        <w:pStyle w:val="Prrafodelista"/>
        <w:spacing w:line="360" w:lineRule="auto"/>
        <w:jc w:val="both"/>
        <w:rPr>
          <w:rFonts w:ascii="Times New Roman" w:hAnsi="Times New Roman" w:cs="Times New Roman"/>
          <w:sz w:val="24"/>
          <w:szCs w:val="24"/>
        </w:rPr>
      </w:pPr>
      <w:r w:rsidRPr="00204CEA">
        <w:rPr>
          <w:rFonts w:ascii="Times New Roman" w:hAnsi="Times New Roman" w:cs="Times New Roman"/>
          <w:sz w:val="24"/>
          <w:szCs w:val="24"/>
        </w:rPr>
        <w:t xml:space="preserve">Información financiera intermedia, </w:t>
      </w:r>
      <w:proofErr w:type="gramStart"/>
      <w:r w:rsidRPr="00204CEA">
        <w:rPr>
          <w:rFonts w:ascii="Times New Roman" w:hAnsi="Times New Roman" w:cs="Times New Roman"/>
          <w:sz w:val="24"/>
          <w:szCs w:val="24"/>
        </w:rPr>
        <w:t>relativo</w:t>
      </w:r>
      <w:proofErr w:type="gramEnd"/>
      <w:r w:rsidRPr="00204CEA">
        <w:rPr>
          <w:rFonts w:ascii="Times New Roman" w:hAnsi="Times New Roman" w:cs="Times New Roman"/>
          <w:sz w:val="24"/>
          <w:szCs w:val="24"/>
        </w:rPr>
        <w:t xml:space="preserve"> a una parte de ejercicio cubierto por sus primeros estados financieros con arreglo a las NIIF.</w:t>
      </w:r>
    </w:p>
    <w:p w:rsidR="000F29AC" w:rsidRPr="00204CEA" w:rsidRDefault="000F29AC" w:rsidP="00801D62">
      <w:pPr>
        <w:pStyle w:val="Prrafodelista"/>
        <w:spacing w:line="360" w:lineRule="auto"/>
        <w:jc w:val="both"/>
        <w:rPr>
          <w:rFonts w:ascii="Times New Roman" w:hAnsi="Times New Roman" w:cs="Times New Roman"/>
          <w:sz w:val="24"/>
          <w:szCs w:val="24"/>
        </w:rPr>
      </w:pPr>
    </w:p>
    <w:p w:rsidR="000F29AC" w:rsidRPr="00204CEA" w:rsidRDefault="000F29AC" w:rsidP="00801D62">
      <w:pPr>
        <w:pStyle w:val="Prrafodelista"/>
        <w:numPr>
          <w:ilvl w:val="0"/>
          <w:numId w:val="8"/>
        </w:numPr>
        <w:spacing w:line="360" w:lineRule="auto"/>
        <w:jc w:val="both"/>
        <w:rPr>
          <w:rFonts w:ascii="Times New Roman" w:hAnsi="Times New Roman" w:cs="Times New Roman"/>
          <w:sz w:val="24"/>
          <w:szCs w:val="24"/>
        </w:rPr>
      </w:pPr>
      <w:r w:rsidRPr="00204CEA">
        <w:rPr>
          <w:rFonts w:ascii="Times New Roman" w:hAnsi="Times New Roman" w:cs="Times New Roman"/>
          <w:sz w:val="24"/>
          <w:szCs w:val="24"/>
        </w:rPr>
        <w:t xml:space="preserve">Los primeros estados financieros con arreglo a las NIIF son los primeros estados financieros anuales en los cuales la entidad adopta las NIIF, mediante una declaración, explicita y sin reservas, contenida en tales estados financieros, del </w:t>
      </w:r>
      <w:r w:rsidRPr="00204CEA">
        <w:rPr>
          <w:rFonts w:ascii="Times New Roman" w:hAnsi="Times New Roman" w:cs="Times New Roman"/>
          <w:sz w:val="24"/>
          <w:szCs w:val="24"/>
        </w:rPr>
        <w:lastRenderedPageBreak/>
        <w:t>cumplimiento con las NIIF. Los estados financieros con arreglo a las NIIF son los primeros estados financieros en la entidad según NIIF si, por ejemplo, la misma:</w:t>
      </w:r>
    </w:p>
    <w:p w:rsidR="000F29AC" w:rsidRPr="00204CEA" w:rsidRDefault="000F29AC" w:rsidP="00801D62">
      <w:pPr>
        <w:pStyle w:val="Prrafodelista"/>
        <w:spacing w:line="360" w:lineRule="auto"/>
        <w:jc w:val="both"/>
        <w:rPr>
          <w:rFonts w:ascii="Times New Roman" w:hAnsi="Times New Roman" w:cs="Times New Roman"/>
          <w:sz w:val="24"/>
          <w:szCs w:val="24"/>
        </w:rPr>
      </w:pPr>
    </w:p>
    <w:p w:rsidR="000F29AC" w:rsidRPr="00204CEA" w:rsidRDefault="000F29AC" w:rsidP="00801D62">
      <w:pPr>
        <w:pStyle w:val="Prrafodelista"/>
        <w:numPr>
          <w:ilvl w:val="0"/>
          <w:numId w:val="9"/>
        </w:numPr>
        <w:spacing w:line="360" w:lineRule="auto"/>
        <w:jc w:val="both"/>
        <w:rPr>
          <w:rFonts w:ascii="Times New Roman" w:hAnsi="Times New Roman" w:cs="Times New Roman"/>
          <w:sz w:val="24"/>
          <w:szCs w:val="24"/>
        </w:rPr>
      </w:pPr>
      <w:r w:rsidRPr="00204CEA">
        <w:rPr>
          <w:rFonts w:ascii="Times New Roman" w:hAnsi="Times New Roman" w:cs="Times New Roman"/>
          <w:sz w:val="24"/>
          <w:szCs w:val="24"/>
        </w:rPr>
        <w:t>Ha presentado sus estados financieros más recientes:</w:t>
      </w:r>
    </w:p>
    <w:p w:rsidR="000F29AC" w:rsidRPr="00204CEA" w:rsidRDefault="000F29AC" w:rsidP="00801D62">
      <w:pPr>
        <w:pStyle w:val="Prrafodelista"/>
        <w:numPr>
          <w:ilvl w:val="0"/>
          <w:numId w:val="10"/>
        </w:numPr>
        <w:spacing w:line="360" w:lineRule="auto"/>
        <w:jc w:val="both"/>
        <w:rPr>
          <w:rFonts w:ascii="Times New Roman" w:hAnsi="Times New Roman" w:cs="Times New Roman"/>
          <w:sz w:val="24"/>
          <w:szCs w:val="24"/>
        </w:rPr>
      </w:pPr>
      <w:r w:rsidRPr="00204CEA">
        <w:rPr>
          <w:rFonts w:ascii="Times New Roman" w:hAnsi="Times New Roman" w:cs="Times New Roman"/>
          <w:sz w:val="24"/>
          <w:szCs w:val="24"/>
        </w:rPr>
        <w:t xml:space="preserve">Según requerimientos nacionales que no son coherentes en todos los aspectos con las NIIF; </w:t>
      </w:r>
    </w:p>
    <w:p w:rsidR="000F29AC" w:rsidRPr="00204CEA" w:rsidRDefault="000F29AC" w:rsidP="00801D62">
      <w:pPr>
        <w:pStyle w:val="Prrafodelista"/>
        <w:numPr>
          <w:ilvl w:val="0"/>
          <w:numId w:val="10"/>
        </w:numPr>
        <w:spacing w:line="360" w:lineRule="auto"/>
        <w:jc w:val="both"/>
        <w:rPr>
          <w:rFonts w:ascii="Times New Roman" w:hAnsi="Times New Roman" w:cs="Times New Roman"/>
          <w:sz w:val="24"/>
          <w:szCs w:val="24"/>
        </w:rPr>
      </w:pPr>
      <w:r w:rsidRPr="00204CEA">
        <w:rPr>
          <w:rFonts w:ascii="Times New Roman" w:hAnsi="Times New Roman" w:cs="Times New Roman"/>
          <w:sz w:val="24"/>
          <w:szCs w:val="24"/>
        </w:rPr>
        <w:t>De conformidad con las NIIF en todos los aspectos, salvo que tales estados financieros no contengan una declaración explicita y sin reservas, de cumplimiento con las NIIF;</w:t>
      </w:r>
    </w:p>
    <w:p w:rsidR="000F29AC" w:rsidRPr="00204CEA" w:rsidRDefault="000F29AC" w:rsidP="00801D62">
      <w:pPr>
        <w:pStyle w:val="Prrafodelista"/>
        <w:numPr>
          <w:ilvl w:val="0"/>
          <w:numId w:val="10"/>
        </w:numPr>
        <w:spacing w:line="360" w:lineRule="auto"/>
        <w:jc w:val="both"/>
        <w:rPr>
          <w:rFonts w:ascii="Times New Roman" w:hAnsi="Times New Roman" w:cs="Times New Roman"/>
          <w:sz w:val="24"/>
          <w:szCs w:val="24"/>
        </w:rPr>
      </w:pPr>
      <w:r w:rsidRPr="00204CEA">
        <w:rPr>
          <w:rFonts w:ascii="Times New Roman" w:hAnsi="Times New Roman" w:cs="Times New Roman"/>
          <w:sz w:val="24"/>
          <w:szCs w:val="24"/>
        </w:rPr>
        <w:t>Con una declaración explicita de cumplimiento con algunas NIIF, pero no con todas;</w:t>
      </w:r>
    </w:p>
    <w:p w:rsidR="00AA1C63" w:rsidRPr="00204CEA" w:rsidRDefault="00AA1C63" w:rsidP="00801D62">
      <w:pPr>
        <w:pStyle w:val="Prrafodelista"/>
        <w:numPr>
          <w:ilvl w:val="0"/>
          <w:numId w:val="10"/>
        </w:numPr>
        <w:spacing w:line="360" w:lineRule="auto"/>
        <w:jc w:val="both"/>
        <w:rPr>
          <w:rFonts w:ascii="Times New Roman" w:hAnsi="Times New Roman" w:cs="Times New Roman"/>
          <w:sz w:val="24"/>
          <w:szCs w:val="24"/>
        </w:rPr>
      </w:pPr>
      <w:r w:rsidRPr="00204CEA">
        <w:rPr>
          <w:rFonts w:ascii="Times New Roman" w:hAnsi="Times New Roman" w:cs="Times New Roman"/>
          <w:sz w:val="24"/>
          <w:szCs w:val="24"/>
        </w:rPr>
        <w:t xml:space="preserve">Según exigencias nacionales que no son coherentes con las NIIF pero aplicando algunas NIIF individuales para contabilizar partidas para las que no existen normativa nacional, o </w:t>
      </w:r>
    </w:p>
    <w:p w:rsidR="00AA1C63" w:rsidRPr="00204CEA" w:rsidRDefault="00AA1C63" w:rsidP="00801D62">
      <w:pPr>
        <w:pStyle w:val="Prrafodelista"/>
        <w:numPr>
          <w:ilvl w:val="0"/>
          <w:numId w:val="10"/>
        </w:numPr>
        <w:spacing w:line="360" w:lineRule="auto"/>
        <w:jc w:val="both"/>
        <w:rPr>
          <w:rFonts w:ascii="Times New Roman" w:hAnsi="Times New Roman" w:cs="Times New Roman"/>
          <w:sz w:val="24"/>
          <w:szCs w:val="24"/>
        </w:rPr>
      </w:pPr>
      <w:r w:rsidRPr="00204CEA">
        <w:rPr>
          <w:rFonts w:ascii="Times New Roman" w:hAnsi="Times New Roman" w:cs="Times New Roman"/>
          <w:sz w:val="24"/>
          <w:szCs w:val="24"/>
        </w:rPr>
        <w:t>Según requerimientos nacionales, aportando una conciliación de algunas de las cifras con las mismas magnitudes determinadas según las NIIF,</w:t>
      </w:r>
    </w:p>
    <w:p w:rsidR="00AA1C63" w:rsidRPr="00204CEA" w:rsidRDefault="00AA1C63" w:rsidP="00801D62">
      <w:pPr>
        <w:pStyle w:val="Prrafodelista"/>
        <w:numPr>
          <w:ilvl w:val="0"/>
          <w:numId w:val="9"/>
        </w:numPr>
        <w:spacing w:line="360" w:lineRule="auto"/>
        <w:jc w:val="both"/>
        <w:rPr>
          <w:rFonts w:ascii="Times New Roman" w:hAnsi="Times New Roman" w:cs="Times New Roman"/>
          <w:sz w:val="24"/>
          <w:szCs w:val="24"/>
        </w:rPr>
      </w:pPr>
      <w:r w:rsidRPr="00204CEA">
        <w:rPr>
          <w:rFonts w:ascii="Times New Roman" w:hAnsi="Times New Roman" w:cs="Times New Roman"/>
          <w:sz w:val="24"/>
          <w:szCs w:val="24"/>
        </w:rPr>
        <w:t xml:space="preserve">Ha preparado estados financieros con arreglo a las NIIF únicamente para uso interno, sin ponerlos a disposición de los propietarios de la entidad o de otros usuarios externos; </w:t>
      </w:r>
    </w:p>
    <w:p w:rsidR="00AA1C63" w:rsidRPr="00204CEA" w:rsidRDefault="00AA1C63" w:rsidP="00801D62">
      <w:pPr>
        <w:pStyle w:val="Prrafodelista"/>
        <w:numPr>
          <w:ilvl w:val="0"/>
          <w:numId w:val="9"/>
        </w:numPr>
        <w:spacing w:line="360" w:lineRule="auto"/>
        <w:jc w:val="both"/>
        <w:rPr>
          <w:rFonts w:ascii="Times New Roman" w:hAnsi="Times New Roman" w:cs="Times New Roman"/>
          <w:sz w:val="24"/>
          <w:szCs w:val="24"/>
        </w:rPr>
      </w:pPr>
      <w:r w:rsidRPr="00204CEA">
        <w:rPr>
          <w:rFonts w:ascii="Times New Roman" w:hAnsi="Times New Roman" w:cs="Times New Roman"/>
          <w:sz w:val="24"/>
          <w:szCs w:val="24"/>
        </w:rPr>
        <w:t>Ha preparado un paquete de información de acuerdo con las NIIF, para su empleo en la consolidación que no constituye un conjunto completo de estados financieros, según se define en la NIC 1 Presentación de estados Financieros, o</w:t>
      </w:r>
    </w:p>
    <w:p w:rsidR="00AA1C63" w:rsidRPr="00204CEA" w:rsidRDefault="00AA1C63" w:rsidP="00801D62">
      <w:pPr>
        <w:pStyle w:val="Prrafodelista"/>
        <w:numPr>
          <w:ilvl w:val="0"/>
          <w:numId w:val="9"/>
        </w:numPr>
        <w:spacing w:line="360" w:lineRule="auto"/>
        <w:jc w:val="both"/>
        <w:rPr>
          <w:rFonts w:ascii="Times New Roman" w:hAnsi="Times New Roman" w:cs="Times New Roman"/>
          <w:sz w:val="24"/>
          <w:szCs w:val="24"/>
        </w:rPr>
      </w:pPr>
      <w:r w:rsidRPr="00204CEA">
        <w:rPr>
          <w:rFonts w:ascii="Times New Roman" w:hAnsi="Times New Roman" w:cs="Times New Roman"/>
          <w:sz w:val="24"/>
          <w:szCs w:val="24"/>
        </w:rPr>
        <w:t>No presentó estados financieros en ejercicios anteriores.</w:t>
      </w:r>
    </w:p>
    <w:p w:rsidR="00AA1C63" w:rsidRPr="00204CEA" w:rsidRDefault="00AA1C63" w:rsidP="00801D62">
      <w:pPr>
        <w:pStyle w:val="Prrafodelista"/>
        <w:spacing w:line="360" w:lineRule="auto"/>
        <w:jc w:val="both"/>
        <w:rPr>
          <w:rFonts w:ascii="Times New Roman" w:hAnsi="Times New Roman" w:cs="Times New Roman"/>
          <w:sz w:val="24"/>
          <w:szCs w:val="24"/>
        </w:rPr>
      </w:pPr>
    </w:p>
    <w:p w:rsidR="00AA1C63" w:rsidRPr="00204CEA" w:rsidRDefault="00AA1C63" w:rsidP="00801D62">
      <w:pPr>
        <w:pStyle w:val="Prrafodelista"/>
        <w:numPr>
          <w:ilvl w:val="0"/>
          <w:numId w:val="8"/>
        </w:numPr>
        <w:spacing w:line="360" w:lineRule="auto"/>
        <w:jc w:val="both"/>
        <w:rPr>
          <w:rFonts w:ascii="Times New Roman" w:hAnsi="Times New Roman" w:cs="Times New Roman"/>
          <w:sz w:val="24"/>
          <w:szCs w:val="24"/>
        </w:rPr>
      </w:pPr>
      <w:r w:rsidRPr="00204CEA">
        <w:rPr>
          <w:rFonts w:ascii="Times New Roman" w:hAnsi="Times New Roman" w:cs="Times New Roman"/>
          <w:sz w:val="24"/>
          <w:szCs w:val="24"/>
        </w:rPr>
        <w:t xml:space="preserve">Esta NIIF se aplicará cuando la entidad adopta </w:t>
      </w:r>
      <w:r w:rsidR="00A44841" w:rsidRPr="00204CEA">
        <w:rPr>
          <w:rFonts w:ascii="Times New Roman" w:hAnsi="Times New Roman" w:cs="Times New Roman"/>
          <w:sz w:val="24"/>
          <w:szCs w:val="24"/>
        </w:rPr>
        <w:t>por primera vez las NIIF. No será de aplicación cuando, por ejemplo, la entidad:</w:t>
      </w:r>
    </w:p>
    <w:p w:rsidR="00A44841" w:rsidRPr="00204CEA" w:rsidRDefault="00A44841" w:rsidP="00801D62">
      <w:pPr>
        <w:pStyle w:val="Prrafodelista"/>
        <w:numPr>
          <w:ilvl w:val="0"/>
          <w:numId w:val="11"/>
        </w:numPr>
        <w:spacing w:line="360" w:lineRule="auto"/>
        <w:jc w:val="both"/>
        <w:rPr>
          <w:rFonts w:ascii="Times New Roman" w:hAnsi="Times New Roman" w:cs="Times New Roman"/>
          <w:sz w:val="24"/>
          <w:szCs w:val="24"/>
        </w:rPr>
      </w:pPr>
      <w:r w:rsidRPr="00204CEA">
        <w:rPr>
          <w:rFonts w:ascii="Times New Roman" w:hAnsi="Times New Roman" w:cs="Times New Roman"/>
          <w:sz w:val="24"/>
          <w:szCs w:val="24"/>
        </w:rPr>
        <w:t>Abandona la presentación de los estados financieros según</w:t>
      </w:r>
      <w:r w:rsidR="00483BAF" w:rsidRPr="00204CEA">
        <w:rPr>
          <w:rFonts w:ascii="Times New Roman" w:hAnsi="Times New Roman" w:cs="Times New Roman"/>
          <w:sz w:val="24"/>
          <w:szCs w:val="24"/>
        </w:rPr>
        <w:t xml:space="preserve"> los requerimientos nacionales, si los ha presentado anteriormente junto con orto conjunto de estados financieros que contenían una declaración explicita y sin reservas de cumplimiento con las NIIF</w:t>
      </w:r>
    </w:p>
    <w:p w:rsidR="00483BAF" w:rsidRPr="00204CEA" w:rsidRDefault="00483BAF" w:rsidP="00801D62">
      <w:pPr>
        <w:pStyle w:val="Prrafodelista"/>
        <w:numPr>
          <w:ilvl w:val="0"/>
          <w:numId w:val="11"/>
        </w:numPr>
        <w:spacing w:before="100" w:beforeAutospacing="1" w:after="100" w:afterAutospacing="1" w:line="360" w:lineRule="auto"/>
        <w:jc w:val="both"/>
        <w:rPr>
          <w:rFonts w:ascii="Times New Roman" w:eastAsia="Times New Roman" w:hAnsi="Times New Roman" w:cs="Times New Roman"/>
          <w:sz w:val="24"/>
          <w:szCs w:val="24"/>
          <w:lang w:eastAsia="es-EC"/>
        </w:rPr>
      </w:pPr>
      <w:r w:rsidRPr="00204CEA">
        <w:rPr>
          <w:rFonts w:ascii="Times New Roman" w:eastAsia="Times New Roman" w:hAnsi="Times New Roman" w:cs="Times New Roman"/>
          <w:sz w:val="24"/>
          <w:szCs w:val="24"/>
          <w:lang w:eastAsia="es-EC"/>
        </w:rPr>
        <w:lastRenderedPageBreak/>
        <w:t>Presente en el año precedente estados financieros según requerimientos nacionales, y tales estados financieros contenían una declaración, explícita y sin reservas, de cumplimiento con las NIIF; o</w:t>
      </w:r>
    </w:p>
    <w:p w:rsidR="00483BAF" w:rsidRPr="00204CEA" w:rsidRDefault="00483BAF" w:rsidP="00801D62">
      <w:pPr>
        <w:pStyle w:val="Prrafodelista"/>
        <w:numPr>
          <w:ilvl w:val="0"/>
          <w:numId w:val="11"/>
        </w:numPr>
        <w:spacing w:before="100" w:beforeAutospacing="1" w:after="100" w:afterAutospacing="1" w:line="360" w:lineRule="auto"/>
        <w:jc w:val="both"/>
        <w:rPr>
          <w:rFonts w:ascii="Times New Roman" w:eastAsia="Times New Roman" w:hAnsi="Times New Roman" w:cs="Times New Roman"/>
          <w:sz w:val="24"/>
          <w:szCs w:val="24"/>
          <w:lang w:eastAsia="es-EC"/>
        </w:rPr>
      </w:pPr>
      <w:r w:rsidRPr="00204CEA">
        <w:rPr>
          <w:rFonts w:ascii="Times New Roman" w:eastAsia="Times New Roman" w:hAnsi="Times New Roman" w:cs="Times New Roman"/>
          <w:sz w:val="24"/>
          <w:szCs w:val="24"/>
          <w:lang w:eastAsia="es-EC"/>
        </w:rPr>
        <w:t>Presentó en el año precedente estados financieros que contenían una declaración, explícita y sin reservas, de cumplimiento con las NIIF, incluso si los auditores expresaron su opinión con salvedades en el informe de auditoría sobre tales estados financieros.</w:t>
      </w:r>
    </w:p>
    <w:p w:rsidR="00483BAF" w:rsidRPr="00204CEA" w:rsidRDefault="00483BAF" w:rsidP="00801D62">
      <w:pPr>
        <w:pStyle w:val="Prrafodelista"/>
        <w:numPr>
          <w:ilvl w:val="0"/>
          <w:numId w:val="8"/>
        </w:numPr>
        <w:spacing w:before="100" w:beforeAutospacing="1" w:after="100" w:afterAutospacing="1" w:line="360" w:lineRule="auto"/>
        <w:jc w:val="both"/>
        <w:rPr>
          <w:rFonts w:ascii="Times New Roman" w:eastAsia="Times New Roman" w:hAnsi="Times New Roman" w:cs="Times New Roman"/>
          <w:sz w:val="24"/>
          <w:szCs w:val="24"/>
          <w:lang w:eastAsia="es-EC"/>
        </w:rPr>
      </w:pPr>
      <w:r w:rsidRPr="00204CEA">
        <w:rPr>
          <w:rFonts w:ascii="Times New Roman" w:eastAsia="Times New Roman" w:hAnsi="Times New Roman" w:cs="Times New Roman"/>
          <w:sz w:val="24"/>
          <w:szCs w:val="24"/>
          <w:lang w:eastAsia="es-EC"/>
        </w:rPr>
        <w:t>Esta NIIF no afectará a los cambios en las políticas contables hechos por una entidad que ya hubiera adoptado las NIIF. Tales cambios son objeto de:</w:t>
      </w:r>
    </w:p>
    <w:p w:rsidR="00483BAF" w:rsidRPr="00204CEA" w:rsidRDefault="00483BAF" w:rsidP="00801D62">
      <w:pPr>
        <w:pStyle w:val="Prrafodelista"/>
        <w:numPr>
          <w:ilvl w:val="0"/>
          <w:numId w:val="12"/>
        </w:numPr>
        <w:spacing w:before="100" w:beforeAutospacing="1" w:after="100" w:afterAutospacing="1" w:line="360" w:lineRule="auto"/>
        <w:ind w:left="426" w:firstLine="0"/>
        <w:jc w:val="both"/>
        <w:rPr>
          <w:rFonts w:ascii="Times New Roman" w:eastAsia="Times New Roman" w:hAnsi="Times New Roman" w:cs="Times New Roman"/>
          <w:sz w:val="24"/>
          <w:szCs w:val="24"/>
          <w:lang w:eastAsia="es-EC"/>
        </w:rPr>
      </w:pPr>
      <w:r w:rsidRPr="00204CEA">
        <w:rPr>
          <w:rFonts w:ascii="Times New Roman" w:eastAsia="Times New Roman" w:hAnsi="Times New Roman" w:cs="Times New Roman"/>
          <w:sz w:val="24"/>
          <w:szCs w:val="24"/>
          <w:lang w:eastAsia="es-EC"/>
        </w:rPr>
        <w:t>requerimientos específicos relativos a cambios en políticas contables, contenidos en la NIC 8 Políticas contables, cambios en las estimaciones contables y errores; y</w:t>
      </w:r>
    </w:p>
    <w:p w:rsidR="00483BAF" w:rsidRPr="00204CEA" w:rsidRDefault="00483BAF" w:rsidP="00801D62">
      <w:pPr>
        <w:pStyle w:val="Prrafodelista"/>
        <w:numPr>
          <w:ilvl w:val="0"/>
          <w:numId w:val="12"/>
        </w:numPr>
        <w:spacing w:before="100" w:beforeAutospacing="1" w:after="100" w:afterAutospacing="1" w:line="360" w:lineRule="auto"/>
        <w:ind w:left="426" w:firstLine="0"/>
        <w:jc w:val="both"/>
        <w:rPr>
          <w:rFonts w:ascii="Times New Roman" w:eastAsia="Times New Roman" w:hAnsi="Times New Roman" w:cs="Times New Roman"/>
          <w:sz w:val="24"/>
          <w:szCs w:val="24"/>
          <w:lang w:eastAsia="es-EC"/>
        </w:rPr>
      </w:pPr>
      <w:r w:rsidRPr="00204CEA">
        <w:rPr>
          <w:rFonts w:ascii="Times New Roman" w:eastAsia="Times New Roman" w:hAnsi="Times New Roman" w:cs="Times New Roman"/>
          <w:sz w:val="24"/>
          <w:szCs w:val="24"/>
          <w:lang w:eastAsia="es-EC"/>
        </w:rPr>
        <w:t>Disposiciones transitorias específicas contenidas en otras NIIF.</w:t>
      </w:r>
    </w:p>
    <w:p w:rsidR="00483BAF" w:rsidRPr="00204CEA" w:rsidRDefault="00483BAF" w:rsidP="00801D62">
      <w:pPr>
        <w:spacing w:before="100" w:beforeAutospacing="1" w:after="100" w:afterAutospacing="1" w:line="360" w:lineRule="auto"/>
        <w:outlineLvl w:val="1"/>
        <w:rPr>
          <w:rFonts w:ascii="Times New Roman" w:eastAsia="Times New Roman" w:hAnsi="Times New Roman" w:cs="Times New Roman"/>
          <w:b/>
          <w:bCs/>
          <w:sz w:val="24"/>
          <w:szCs w:val="24"/>
          <w:lang w:eastAsia="es-EC"/>
        </w:rPr>
      </w:pPr>
      <w:r w:rsidRPr="00204CEA">
        <w:rPr>
          <w:rFonts w:ascii="Times New Roman" w:eastAsia="Times New Roman" w:hAnsi="Times New Roman" w:cs="Times New Roman"/>
          <w:b/>
          <w:bCs/>
          <w:sz w:val="24"/>
          <w:szCs w:val="24"/>
          <w:lang w:eastAsia="es-EC"/>
        </w:rPr>
        <w:t>RECONOCIMIENTO Y VALORACIÓN</w:t>
      </w:r>
    </w:p>
    <w:p w:rsidR="00483BAF" w:rsidRPr="00204CEA" w:rsidRDefault="00483BAF" w:rsidP="00801D62">
      <w:pPr>
        <w:pStyle w:val="Prrafodelista"/>
        <w:numPr>
          <w:ilvl w:val="0"/>
          <w:numId w:val="8"/>
        </w:numPr>
        <w:spacing w:before="100" w:beforeAutospacing="1" w:after="100" w:afterAutospacing="1" w:line="360" w:lineRule="auto"/>
        <w:outlineLvl w:val="1"/>
        <w:rPr>
          <w:rFonts w:ascii="Times New Roman" w:eastAsia="Times New Roman" w:hAnsi="Times New Roman" w:cs="Times New Roman"/>
          <w:bCs/>
          <w:sz w:val="24"/>
          <w:szCs w:val="24"/>
          <w:lang w:eastAsia="es-EC"/>
        </w:rPr>
      </w:pPr>
      <w:r w:rsidRPr="00204CEA">
        <w:rPr>
          <w:rFonts w:ascii="Times New Roman" w:eastAsia="Times New Roman" w:hAnsi="Times New Roman" w:cs="Times New Roman"/>
          <w:bCs/>
          <w:sz w:val="24"/>
          <w:szCs w:val="24"/>
          <w:lang w:eastAsia="es-EC"/>
        </w:rPr>
        <w:t>Balance de apertura con arreglo de las NIIF</w:t>
      </w:r>
    </w:p>
    <w:p w:rsidR="00483BAF" w:rsidRPr="00204CEA" w:rsidRDefault="00483BAF" w:rsidP="00801D62">
      <w:pPr>
        <w:spacing w:before="100" w:beforeAutospacing="1" w:after="100" w:afterAutospacing="1" w:line="360" w:lineRule="auto"/>
        <w:jc w:val="both"/>
        <w:rPr>
          <w:rFonts w:ascii="Times New Roman" w:eastAsia="Times New Roman" w:hAnsi="Times New Roman" w:cs="Times New Roman"/>
          <w:sz w:val="24"/>
          <w:szCs w:val="24"/>
          <w:lang w:eastAsia="es-EC"/>
        </w:rPr>
      </w:pPr>
      <w:r w:rsidRPr="00204CEA">
        <w:rPr>
          <w:rFonts w:ascii="Times New Roman" w:eastAsia="Times New Roman" w:hAnsi="Times New Roman" w:cs="Times New Roman"/>
          <w:sz w:val="24"/>
          <w:szCs w:val="24"/>
          <w:lang w:eastAsia="es-EC"/>
        </w:rPr>
        <w:t>Una entidad elaborará y presentará un estado de situación financiera de apertura con arreglo a las NIIF en la fecha de transición a las NIIF. Éste es el punto de partida para la contabilización según las NIIF.</w:t>
      </w:r>
    </w:p>
    <w:p w:rsidR="00483BAF" w:rsidRPr="00204CEA" w:rsidRDefault="00483BAF" w:rsidP="00801D62">
      <w:pPr>
        <w:pStyle w:val="Prrafodelista"/>
        <w:numPr>
          <w:ilvl w:val="0"/>
          <w:numId w:val="13"/>
        </w:numPr>
        <w:spacing w:before="100" w:beforeAutospacing="1" w:after="100" w:afterAutospacing="1" w:line="360" w:lineRule="auto"/>
        <w:jc w:val="both"/>
        <w:outlineLvl w:val="2"/>
        <w:rPr>
          <w:rFonts w:ascii="Times New Roman" w:eastAsia="Times New Roman" w:hAnsi="Times New Roman" w:cs="Times New Roman"/>
          <w:bCs/>
          <w:sz w:val="24"/>
          <w:szCs w:val="24"/>
          <w:lang w:eastAsia="es-EC"/>
        </w:rPr>
      </w:pPr>
      <w:r w:rsidRPr="00204CEA">
        <w:rPr>
          <w:rFonts w:ascii="Times New Roman" w:eastAsia="Times New Roman" w:hAnsi="Times New Roman" w:cs="Times New Roman"/>
          <w:bCs/>
          <w:sz w:val="24"/>
          <w:szCs w:val="24"/>
          <w:lang w:eastAsia="es-EC"/>
        </w:rPr>
        <w:t xml:space="preserve">Políticas Contables </w:t>
      </w:r>
    </w:p>
    <w:p w:rsidR="00483BAF" w:rsidRPr="00204CEA" w:rsidRDefault="00483BAF" w:rsidP="00801D62">
      <w:pPr>
        <w:pStyle w:val="Prrafodelista"/>
        <w:numPr>
          <w:ilvl w:val="0"/>
          <w:numId w:val="13"/>
        </w:numPr>
        <w:spacing w:before="100" w:beforeAutospacing="1" w:after="100" w:afterAutospacing="1" w:line="360" w:lineRule="auto"/>
        <w:jc w:val="both"/>
        <w:outlineLvl w:val="2"/>
        <w:rPr>
          <w:rFonts w:ascii="Times New Roman" w:eastAsia="Times New Roman" w:hAnsi="Times New Roman" w:cs="Times New Roman"/>
          <w:bCs/>
          <w:sz w:val="24"/>
          <w:szCs w:val="24"/>
          <w:lang w:eastAsia="es-EC"/>
        </w:rPr>
      </w:pPr>
      <w:r w:rsidRPr="00204CEA">
        <w:rPr>
          <w:rFonts w:ascii="Times New Roman" w:eastAsia="Times New Roman" w:hAnsi="Times New Roman" w:cs="Times New Roman"/>
          <w:bCs/>
          <w:sz w:val="24"/>
          <w:szCs w:val="24"/>
          <w:lang w:eastAsia="es-EC"/>
        </w:rPr>
        <w:t>Exenciones en la aplicación de otras NIIF</w:t>
      </w:r>
    </w:p>
    <w:p w:rsidR="00483BAF" w:rsidRPr="00204CEA" w:rsidRDefault="00483BAF" w:rsidP="00801D62">
      <w:pPr>
        <w:pStyle w:val="Prrafodelista"/>
        <w:numPr>
          <w:ilvl w:val="0"/>
          <w:numId w:val="13"/>
        </w:numPr>
        <w:spacing w:before="100" w:beforeAutospacing="1" w:after="100" w:afterAutospacing="1" w:line="360" w:lineRule="auto"/>
        <w:jc w:val="both"/>
        <w:outlineLvl w:val="2"/>
        <w:rPr>
          <w:rFonts w:ascii="Times New Roman" w:eastAsia="Times New Roman" w:hAnsi="Times New Roman" w:cs="Times New Roman"/>
          <w:bCs/>
          <w:sz w:val="24"/>
          <w:szCs w:val="24"/>
          <w:lang w:eastAsia="es-EC"/>
        </w:rPr>
      </w:pPr>
      <w:r w:rsidRPr="00204CEA">
        <w:rPr>
          <w:rFonts w:ascii="Times New Roman" w:eastAsia="Times New Roman" w:hAnsi="Times New Roman" w:cs="Times New Roman"/>
          <w:bCs/>
          <w:sz w:val="24"/>
          <w:szCs w:val="24"/>
          <w:lang w:eastAsia="es-EC"/>
        </w:rPr>
        <w:t>Combinaciones de negocios</w:t>
      </w:r>
    </w:p>
    <w:p w:rsidR="00483BAF" w:rsidRPr="00204CEA" w:rsidRDefault="00483BAF" w:rsidP="00801D62">
      <w:pPr>
        <w:pStyle w:val="Prrafodelista"/>
        <w:numPr>
          <w:ilvl w:val="0"/>
          <w:numId w:val="13"/>
        </w:numPr>
        <w:spacing w:before="100" w:beforeAutospacing="1" w:after="100" w:afterAutospacing="1" w:line="360" w:lineRule="auto"/>
        <w:jc w:val="both"/>
        <w:outlineLvl w:val="2"/>
        <w:rPr>
          <w:rFonts w:ascii="Times New Roman" w:eastAsia="Times New Roman" w:hAnsi="Times New Roman" w:cs="Times New Roman"/>
          <w:bCs/>
          <w:sz w:val="24"/>
          <w:szCs w:val="24"/>
          <w:lang w:eastAsia="es-EC"/>
        </w:rPr>
      </w:pPr>
      <w:r w:rsidRPr="00204CEA">
        <w:rPr>
          <w:rFonts w:ascii="Times New Roman" w:eastAsia="Times New Roman" w:hAnsi="Times New Roman" w:cs="Times New Roman"/>
          <w:bCs/>
          <w:sz w:val="24"/>
          <w:szCs w:val="24"/>
          <w:lang w:eastAsia="es-EC"/>
        </w:rPr>
        <w:t>Valor razonable o revalorización como coste atribuido</w:t>
      </w:r>
    </w:p>
    <w:p w:rsidR="00483BAF" w:rsidRPr="00204CEA" w:rsidRDefault="00483BAF" w:rsidP="00801D62">
      <w:pPr>
        <w:pStyle w:val="Prrafodelista"/>
        <w:numPr>
          <w:ilvl w:val="0"/>
          <w:numId w:val="13"/>
        </w:numPr>
        <w:spacing w:before="100" w:beforeAutospacing="1" w:after="100" w:afterAutospacing="1" w:line="360" w:lineRule="auto"/>
        <w:jc w:val="both"/>
        <w:outlineLvl w:val="2"/>
        <w:rPr>
          <w:rFonts w:ascii="Times New Roman" w:eastAsia="Times New Roman" w:hAnsi="Times New Roman" w:cs="Times New Roman"/>
          <w:bCs/>
          <w:sz w:val="24"/>
          <w:szCs w:val="24"/>
          <w:lang w:eastAsia="es-EC"/>
        </w:rPr>
      </w:pPr>
      <w:r w:rsidRPr="00204CEA">
        <w:rPr>
          <w:rFonts w:ascii="Times New Roman" w:eastAsia="Times New Roman" w:hAnsi="Times New Roman" w:cs="Times New Roman"/>
          <w:bCs/>
          <w:sz w:val="24"/>
          <w:szCs w:val="24"/>
          <w:lang w:eastAsia="es-EC"/>
        </w:rPr>
        <w:t>Retribuciones a los empleados</w:t>
      </w:r>
    </w:p>
    <w:p w:rsidR="00483BAF" w:rsidRPr="00204CEA" w:rsidRDefault="00483BAF" w:rsidP="00801D62">
      <w:pPr>
        <w:pStyle w:val="Prrafodelista"/>
        <w:numPr>
          <w:ilvl w:val="0"/>
          <w:numId w:val="13"/>
        </w:numPr>
        <w:spacing w:before="100" w:beforeAutospacing="1" w:after="100" w:afterAutospacing="1" w:line="360" w:lineRule="auto"/>
        <w:jc w:val="both"/>
        <w:outlineLvl w:val="2"/>
        <w:rPr>
          <w:rFonts w:ascii="Times New Roman" w:eastAsia="Times New Roman" w:hAnsi="Times New Roman" w:cs="Times New Roman"/>
          <w:bCs/>
          <w:sz w:val="24"/>
          <w:szCs w:val="24"/>
          <w:lang w:eastAsia="es-EC"/>
        </w:rPr>
      </w:pPr>
      <w:r w:rsidRPr="00204CEA">
        <w:rPr>
          <w:rFonts w:ascii="Times New Roman" w:eastAsia="Times New Roman" w:hAnsi="Times New Roman" w:cs="Times New Roman"/>
          <w:bCs/>
          <w:sz w:val="24"/>
          <w:szCs w:val="24"/>
          <w:lang w:eastAsia="es-EC"/>
        </w:rPr>
        <w:t>Diferencias de conversión acu muladas</w:t>
      </w:r>
    </w:p>
    <w:p w:rsidR="00483BAF" w:rsidRPr="00204CEA" w:rsidRDefault="00483BAF" w:rsidP="00801D62">
      <w:pPr>
        <w:pStyle w:val="Prrafodelista"/>
        <w:numPr>
          <w:ilvl w:val="0"/>
          <w:numId w:val="13"/>
        </w:numPr>
        <w:spacing w:before="100" w:beforeAutospacing="1" w:after="100" w:afterAutospacing="1" w:line="360" w:lineRule="auto"/>
        <w:jc w:val="both"/>
        <w:outlineLvl w:val="2"/>
        <w:rPr>
          <w:rFonts w:ascii="Times New Roman" w:eastAsia="Times New Roman" w:hAnsi="Times New Roman" w:cs="Times New Roman"/>
          <w:bCs/>
          <w:sz w:val="24"/>
          <w:szCs w:val="24"/>
          <w:lang w:eastAsia="es-EC"/>
        </w:rPr>
      </w:pPr>
      <w:r w:rsidRPr="00204CEA">
        <w:rPr>
          <w:rFonts w:ascii="Times New Roman" w:eastAsia="Times New Roman" w:hAnsi="Times New Roman" w:cs="Times New Roman"/>
          <w:bCs/>
          <w:sz w:val="24"/>
          <w:szCs w:val="24"/>
          <w:lang w:eastAsia="es-EC"/>
        </w:rPr>
        <w:t>Instrumentos financieros compuestos</w:t>
      </w:r>
    </w:p>
    <w:p w:rsidR="00483BAF" w:rsidRPr="00204CEA" w:rsidRDefault="00483BAF" w:rsidP="00801D62">
      <w:pPr>
        <w:pStyle w:val="Prrafodelista"/>
        <w:numPr>
          <w:ilvl w:val="0"/>
          <w:numId w:val="13"/>
        </w:numPr>
        <w:spacing w:before="100" w:beforeAutospacing="1" w:after="100" w:afterAutospacing="1" w:line="360" w:lineRule="auto"/>
        <w:jc w:val="both"/>
        <w:outlineLvl w:val="2"/>
        <w:rPr>
          <w:rFonts w:ascii="Times New Roman" w:eastAsia="Times New Roman" w:hAnsi="Times New Roman" w:cs="Times New Roman"/>
          <w:bCs/>
          <w:sz w:val="24"/>
          <w:szCs w:val="24"/>
          <w:lang w:eastAsia="es-EC"/>
        </w:rPr>
      </w:pPr>
      <w:r w:rsidRPr="00204CEA">
        <w:rPr>
          <w:rFonts w:ascii="Times New Roman" w:eastAsia="Times New Roman" w:hAnsi="Times New Roman" w:cs="Times New Roman"/>
          <w:bCs/>
          <w:sz w:val="24"/>
          <w:szCs w:val="24"/>
          <w:lang w:eastAsia="es-EC"/>
        </w:rPr>
        <w:t>Activos y pasivos de dependientes, asociadas y negocios conjuntos</w:t>
      </w:r>
    </w:p>
    <w:p w:rsidR="00483BAF" w:rsidRPr="00204CEA" w:rsidRDefault="00483BAF" w:rsidP="00801D62">
      <w:pPr>
        <w:pStyle w:val="Prrafodelista"/>
        <w:numPr>
          <w:ilvl w:val="0"/>
          <w:numId w:val="13"/>
        </w:numPr>
        <w:spacing w:before="100" w:beforeAutospacing="1" w:after="100" w:afterAutospacing="1" w:line="360" w:lineRule="auto"/>
        <w:jc w:val="both"/>
        <w:outlineLvl w:val="2"/>
        <w:rPr>
          <w:rFonts w:ascii="Times New Roman" w:eastAsia="Times New Roman" w:hAnsi="Times New Roman" w:cs="Times New Roman"/>
          <w:bCs/>
          <w:sz w:val="24"/>
          <w:szCs w:val="24"/>
          <w:lang w:eastAsia="es-EC"/>
        </w:rPr>
      </w:pPr>
      <w:r w:rsidRPr="00204CEA">
        <w:rPr>
          <w:rFonts w:ascii="Times New Roman" w:eastAsia="Times New Roman" w:hAnsi="Times New Roman" w:cs="Times New Roman"/>
          <w:bCs/>
          <w:sz w:val="24"/>
          <w:szCs w:val="24"/>
          <w:lang w:eastAsia="es-EC"/>
        </w:rPr>
        <w:t>Designación de instrumentos financieros reconocidos previamente</w:t>
      </w:r>
    </w:p>
    <w:p w:rsidR="00483BAF" w:rsidRPr="00204CEA" w:rsidRDefault="00483BAF" w:rsidP="00801D62">
      <w:pPr>
        <w:pStyle w:val="Prrafodelista"/>
        <w:numPr>
          <w:ilvl w:val="0"/>
          <w:numId w:val="13"/>
        </w:numPr>
        <w:spacing w:before="100" w:beforeAutospacing="1" w:after="100" w:afterAutospacing="1" w:line="360" w:lineRule="auto"/>
        <w:jc w:val="both"/>
        <w:outlineLvl w:val="2"/>
        <w:rPr>
          <w:rFonts w:ascii="Times New Roman" w:eastAsia="Times New Roman" w:hAnsi="Times New Roman" w:cs="Times New Roman"/>
          <w:bCs/>
          <w:sz w:val="24"/>
          <w:szCs w:val="24"/>
          <w:lang w:eastAsia="es-EC"/>
        </w:rPr>
      </w:pPr>
      <w:r w:rsidRPr="00204CEA">
        <w:rPr>
          <w:rFonts w:ascii="Times New Roman" w:eastAsia="Times New Roman" w:hAnsi="Times New Roman" w:cs="Times New Roman"/>
          <w:bCs/>
          <w:sz w:val="24"/>
          <w:szCs w:val="24"/>
          <w:lang w:eastAsia="es-EC"/>
        </w:rPr>
        <w:t>Contrato de seguro</w:t>
      </w:r>
    </w:p>
    <w:p w:rsidR="00204CEA" w:rsidRDefault="00204CEA" w:rsidP="00801D62">
      <w:pPr>
        <w:spacing w:before="100" w:beforeAutospacing="1" w:after="100" w:afterAutospacing="1" w:line="360" w:lineRule="auto"/>
        <w:jc w:val="both"/>
        <w:outlineLvl w:val="2"/>
        <w:rPr>
          <w:rFonts w:ascii="Times New Roman" w:eastAsia="Times New Roman" w:hAnsi="Times New Roman" w:cs="Times New Roman"/>
          <w:b/>
          <w:bCs/>
          <w:sz w:val="24"/>
          <w:szCs w:val="24"/>
          <w:lang w:eastAsia="es-EC"/>
        </w:rPr>
      </w:pPr>
    </w:p>
    <w:p w:rsidR="00483BAF" w:rsidRPr="00204CEA" w:rsidRDefault="00303DDB" w:rsidP="00801D62">
      <w:pPr>
        <w:spacing w:before="100" w:beforeAutospacing="1" w:after="100" w:afterAutospacing="1" w:line="360" w:lineRule="auto"/>
        <w:jc w:val="both"/>
        <w:outlineLvl w:val="2"/>
        <w:rPr>
          <w:rFonts w:ascii="Times New Roman" w:eastAsia="Times New Roman" w:hAnsi="Times New Roman" w:cs="Times New Roman"/>
          <w:b/>
          <w:bCs/>
          <w:sz w:val="24"/>
          <w:szCs w:val="24"/>
          <w:lang w:eastAsia="es-EC"/>
        </w:rPr>
      </w:pPr>
      <w:r w:rsidRPr="00204CEA">
        <w:rPr>
          <w:rFonts w:ascii="Times New Roman" w:eastAsia="Times New Roman" w:hAnsi="Times New Roman" w:cs="Times New Roman"/>
          <w:b/>
          <w:bCs/>
          <w:sz w:val="24"/>
          <w:szCs w:val="24"/>
          <w:lang w:eastAsia="es-EC"/>
        </w:rPr>
        <w:lastRenderedPageBreak/>
        <w:t>FECHA DE VIGENCIA</w:t>
      </w:r>
    </w:p>
    <w:p w:rsidR="00303DDB" w:rsidRPr="00204CEA" w:rsidRDefault="00303DDB" w:rsidP="00801D62">
      <w:pPr>
        <w:spacing w:before="100" w:beforeAutospacing="1" w:after="100" w:afterAutospacing="1" w:line="360" w:lineRule="auto"/>
        <w:jc w:val="both"/>
        <w:outlineLvl w:val="2"/>
        <w:rPr>
          <w:rFonts w:ascii="Times New Roman" w:eastAsia="Times New Roman" w:hAnsi="Times New Roman" w:cs="Times New Roman"/>
          <w:bCs/>
          <w:sz w:val="24"/>
          <w:szCs w:val="24"/>
          <w:lang w:eastAsia="es-EC"/>
        </w:rPr>
      </w:pPr>
      <w:r w:rsidRPr="00204CEA">
        <w:rPr>
          <w:rFonts w:ascii="Times New Roman" w:eastAsia="Times New Roman" w:hAnsi="Times New Roman" w:cs="Times New Roman"/>
          <w:bCs/>
          <w:sz w:val="24"/>
          <w:szCs w:val="24"/>
          <w:lang w:eastAsia="es-EC"/>
        </w:rPr>
        <w:t xml:space="preserve"> La entidad aplicara esta NIIF si los estados financieros con arreglo a las NIIF corresponden a un ejercicio que comience a partir del 1 de enero de 2004.</w:t>
      </w:r>
    </w:p>
    <w:p w:rsidR="00303DDB" w:rsidRPr="00204CEA" w:rsidRDefault="00D553E6" w:rsidP="00801D62">
      <w:pPr>
        <w:spacing w:line="360" w:lineRule="auto"/>
        <w:jc w:val="both"/>
        <w:rPr>
          <w:rFonts w:ascii="Times New Roman" w:hAnsi="Times New Roman" w:cs="Times New Roman"/>
          <w:b/>
          <w:color w:val="0070C0"/>
          <w:sz w:val="28"/>
          <w:szCs w:val="24"/>
        </w:rPr>
      </w:pPr>
      <w:r w:rsidRPr="00204CEA">
        <w:rPr>
          <w:rFonts w:ascii="Times New Roman" w:hAnsi="Times New Roman" w:cs="Times New Roman"/>
          <w:b/>
          <w:color w:val="0070C0"/>
          <w:sz w:val="28"/>
          <w:szCs w:val="24"/>
        </w:rPr>
        <w:t>NIIF N°2</w:t>
      </w:r>
      <w:r w:rsidR="00303DDB" w:rsidRPr="00204CEA">
        <w:rPr>
          <w:rFonts w:ascii="Times New Roman" w:hAnsi="Times New Roman" w:cs="Times New Roman"/>
          <w:b/>
          <w:color w:val="0070C0"/>
          <w:sz w:val="28"/>
          <w:szCs w:val="24"/>
        </w:rPr>
        <w:t>. PAGOS BASADOS EN ACCIONES.</w:t>
      </w:r>
    </w:p>
    <w:p w:rsidR="00303DDB" w:rsidRPr="00204CEA" w:rsidRDefault="00303DDB" w:rsidP="00801D62">
      <w:pPr>
        <w:pStyle w:val="Ttulo2"/>
        <w:spacing w:line="360" w:lineRule="auto"/>
        <w:rPr>
          <w:sz w:val="24"/>
          <w:szCs w:val="24"/>
        </w:rPr>
      </w:pPr>
      <w:r w:rsidRPr="00204CEA">
        <w:rPr>
          <w:rStyle w:val="cufon-alt"/>
          <w:sz w:val="24"/>
          <w:szCs w:val="24"/>
        </w:rPr>
        <w:t>OBJETIVO</w:t>
      </w:r>
    </w:p>
    <w:p w:rsidR="00303DDB" w:rsidRPr="00204CEA" w:rsidRDefault="00303DDB" w:rsidP="00801D62">
      <w:pPr>
        <w:pStyle w:val="NormalWeb"/>
        <w:spacing w:line="360" w:lineRule="auto"/>
        <w:jc w:val="both"/>
      </w:pPr>
      <w:r w:rsidRPr="00204CEA">
        <w:t>El objetivo de esta NIIF consiste en especificar la información financiera que ha de incluir una entidad cuando lleve a cabo una transacción con pagos basados en acciones. En concreto, requiere que la entidad refleje en el resultado del ejercicio y en su posición financiera, los efectos de las transacciones con pagos basados en acciones, incluyendo los gastos asociados a las transacciones en las que se conceden opciones sobre acciones a los empleados.</w:t>
      </w:r>
    </w:p>
    <w:p w:rsidR="00303DDB" w:rsidRPr="00204CEA" w:rsidRDefault="00303DDB" w:rsidP="00801D62">
      <w:pPr>
        <w:pStyle w:val="Ttulo2"/>
        <w:spacing w:line="360" w:lineRule="auto"/>
        <w:rPr>
          <w:sz w:val="24"/>
          <w:szCs w:val="24"/>
        </w:rPr>
      </w:pPr>
      <w:r w:rsidRPr="00204CEA">
        <w:rPr>
          <w:rStyle w:val="cufon-alt"/>
          <w:sz w:val="24"/>
          <w:szCs w:val="24"/>
        </w:rPr>
        <w:t>ALCANCE</w:t>
      </w:r>
    </w:p>
    <w:p w:rsidR="00303DDB" w:rsidRPr="00204CEA" w:rsidRDefault="00303DDB" w:rsidP="00801D62">
      <w:pPr>
        <w:pStyle w:val="NormalWeb"/>
        <w:spacing w:line="360" w:lineRule="auto"/>
        <w:jc w:val="both"/>
      </w:pPr>
      <w:r w:rsidRPr="00204CEA">
        <w:t>La entidad aplicará esta NIIF en la contabilización de todas las transacciones con pagos basados en acciones, incluyendo:</w:t>
      </w:r>
    </w:p>
    <w:p w:rsidR="00303DDB" w:rsidRPr="00204CEA" w:rsidRDefault="00303DDB" w:rsidP="00801D62">
      <w:pPr>
        <w:pStyle w:val="NormalWeb"/>
        <w:numPr>
          <w:ilvl w:val="0"/>
          <w:numId w:val="14"/>
        </w:numPr>
        <w:spacing w:line="360" w:lineRule="auto"/>
        <w:ind w:left="567" w:hanging="141"/>
        <w:jc w:val="both"/>
      </w:pPr>
      <w:r w:rsidRPr="00204CEA">
        <w:t>Transacciones con pagos basados en acciones liquidados mediante instrumentos de patrimonio, en las que la entidad reciba bienes o servicios a cambio de instrumentos de patrimonio de la misma (incluyendo acciones u opciones sobre acciones),</w:t>
      </w:r>
    </w:p>
    <w:p w:rsidR="00303DDB" w:rsidRPr="00204CEA" w:rsidRDefault="00303DDB" w:rsidP="00801D62">
      <w:pPr>
        <w:pStyle w:val="NormalWeb"/>
        <w:numPr>
          <w:ilvl w:val="0"/>
          <w:numId w:val="14"/>
        </w:numPr>
        <w:spacing w:line="360" w:lineRule="auto"/>
        <w:ind w:left="567" w:hanging="141"/>
        <w:jc w:val="both"/>
      </w:pPr>
      <w:r w:rsidRPr="00204CEA">
        <w:t>Transacciones con pagos basados en acciones liquidados en efectivo, en las que la entidad adquiera bienes o servicios, incurriendo en pasivos con el proveedor de esos bienes o servicios por importes que se basen en el precio (o en el valor) de las acciones de la entidad o de otros instrumentos de patrimonio de la misma, y</w:t>
      </w:r>
    </w:p>
    <w:p w:rsidR="00303DDB" w:rsidRPr="00204CEA" w:rsidRDefault="00303DDB" w:rsidP="00801D62">
      <w:pPr>
        <w:pStyle w:val="NormalWeb"/>
        <w:numPr>
          <w:ilvl w:val="0"/>
          <w:numId w:val="14"/>
        </w:numPr>
        <w:spacing w:line="360" w:lineRule="auto"/>
        <w:ind w:left="567" w:hanging="141"/>
        <w:jc w:val="both"/>
      </w:pPr>
      <w:r w:rsidRPr="00204CEA">
        <w:t>Transacciones en las que la entidad reciba o adquiera bienes o servicios, y los términos del acuerdo proporcionen a la entidad o al proveedor de dichos bienes o servicios, la opción de liquidar la transacción en efectivo (o con otros activos) o mediante la emisión de instrumentos de patrimonio.</w:t>
      </w:r>
    </w:p>
    <w:p w:rsidR="00303DDB" w:rsidRPr="00204CEA" w:rsidRDefault="00303DDB" w:rsidP="00801D62">
      <w:pPr>
        <w:pStyle w:val="NormalWeb"/>
        <w:numPr>
          <w:ilvl w:val="0"/>
          <w:numId w:val="15"/>
        </w:numPr>
        <w:spacing w:line="360" w:lineRule="auto"/>
        <w:jc w:val="both"/>
      </w:pPr>
      <w:r w:rsidRPr="00204CEA">
        <w:lastRenderedPageBreak/>
        <w:t>A los efectos de esta NIIF, las transferencias de los instrumentos de patrimonio de una entidad realizadas por sus accionistas a terceros que hayan suministrado bienes o prestado servicios a la entidad (incluyendo sus empleados) son transacciones con pagos basados en acciones, a menos que la transferencia tenga claramente un propósito distinto del pago de los bienes o servicios suministrados a la entidad. Esto también se aplicará a transferencias con instrumentos de patrimonio de la dominante de la entidad, o con instrumentos de patrimonio de otra entidad perteneciente al mismo grupo, realizadas con sujetos que hayan suministrado bienes o servicios a la entidad.</w:t>
      </w:r>
    </w:p>
    <w:p w:rsidR="00303DDB" w:rsidRPr="00204CEA" w:rsidRDefault="00303DDB" w:rsidP="00801D62">
      <w:pPr>
        <w:pStyle w:val="NormalWeb"/>
        <w:numPr>
          <w:ilvl w:val="0"/>
          <w:numId w:val="15"/>
        </w:numPr>
        <w:spacing w:line="360" w:lineRule="auto"/>
        <w:jc w:val="both"/>
      </w:pPr>
      <w:r w:rsidRPr="00204CEA">
        <w:t>A los efectos de esta NIIF, una transacción con un empleado (o un tercero), en su condición de tenedor de instrumentos de patrimonio de la entidad, no será una transacción con pagos basados en acciones. Por ejemplo, si una entidad concede a todos los tenedores de una determinada clase de sus instrumentos de patrimonio, el derecho a adquirir instrumentos de patrimonio adicionales de la misma a un precio inferior al valor razonable de esos instrumentos, y un empleado recibe tal derecho por ser tenedor de un instrumento de patrimonio de esa clase particular, la concesión o el ejercicio de ese derecho no estará sujeto a lo exigido por esta NIIF.</w:t>
      </w:r>
    </w:p>
    <w:p w:rsidR="00D553E6" w:rsidRPr="00204CEA" w:rsidRDefault="00303DDB" w:rsidP="00801D62">
      <w:pPr>
        <w:pStyle w:val="NormalWeb"/>
        <w:numPr>
          <w:ilvl w:val="0"/>
          <w:numId w:val="15"/>
        </w:numPr>
        <w:spacing w:line="360" w:lineRule="auto"/>
        <w:jc w:val="both"/>
        <w:rPr>
          <w:rStyle w:val="cufon-alt"/>
        </w:rPr>
      </w:pPr>
      <w:r w:rsidRPr="00204CEA">
        <w:t xml:space="preserve">Como se indicó en el párrafo 2, esta NIIF se aplicará a las transacciones con pagos basados en acciones, en las que una entidad adquiera o reciba bienes o servicios. Entre esos bienes se incluyen existencias, consumibles, inmovilizado material, activos intangibles y otros activos no financieros. Sin embargo, la entidad no aplicará esta NIIF a transacciones en las que adquiera bienes que formen parte de los activos netos adquiridos en una combinación de negocios a la que resulte de aplicación la NIIF 3 Combinaciones de negocios. Por lo tanto, los instrumentos de patrimonio emitidos en una combinación de negocios, a cambio del control de la entidad adquirida, no están dentro del alcance de esta NIIF. En cambio, los instrumentos de patrimonio ofrecidos a los empleados de la adquirida por su condición de empleados (por ejemplo, a cambio de continuar prestando sus servicios) sí entrarán dentro del alcance de esta NIIF. De forma similar, la cancelación, sustitución u otra modificación de acuerdos de pagos basados en acciones, a consecuencia de una combinación de negocios o de alguna otra </w:t>
      </w:r>
      <w:r w:rsidRPr="00204CEA">
        <w:lastRenderedPageBreak/>
        <w:t>reestructuración del patrimonio neto, se contabilizarán de a</w:t>
      </w:r>
      <w:r w:rsidR="00D553E6" w:rsidRPr="00204CEA">
        <w:t xml:space="preserve">cuerdo con esta NIIF. La NIIF 3 </w:t>
      </w:r>
      <w:r w:rsidRPr="00204CEA">
        <w:t>proporciona directrices sobre la determinación de si los instrumentos de patrimonio emitidos en una combinación de negocios son parte de la contraprestación transferida a cambio del control de la adquirida (y por ello dentro del alcance de la NIIF 3) o son una contrapartida por un servicio continuado a ser reconocido en el ejercicio posterior a la combinación (y por ello dentro del alcance de esta NIIF).</w:t>
      </w:r>
    </w:p>
    <w:p w:rsidR="00303DDB" w:rsidRPr="00204CEA" w:rsidRDefault="00D553E6" w:rsidP="00801D62">
      <w:pPr>
        <w:pStyle w:val="Ttulo2"/>
        <w:spacing w:line="360" w:lineRule="auto"/>
        <w:jc w:val="both"/>
        <w:rPr>
          <w:sz w:val="24"/>
          <w:szCs w:val="24"/>
        </w:rPr>
      </w:pPr>
      <w:r w:rsidRPr="00204CEA">
        <w:rPr>
          <w:rStyle w:val="cufon-alt"/>
          <w:sz w:val="24"/>
          <w:szCs w:val="24"/>
        </w:rPr>
        <w:t>RECONOCIMIENTO</w:t>
      </w:r>
    </w:p>
    <w:p w:rsidR="00204CEA" w:rsidRPr="00204CEA" w:rsidRDefault="00303DDB" w:rsidP="00801D62">
      <w:pPr>
        <w:pStyle w:val="Sinespaciado"/>
        <w:numPr>
          <w:ilvl w:val="0"/>
          <w:numId w:val="49"/>
        </w:numPr>
        <w:spacing w:line="360" w:lineRule="auto"/>
        <w:jc w:val="both"/>
        <w:rPr>
          <w:rFonts w:ascii="Times New Roman" w:hAnsi="Times New Roman" w:cs="Times New Roman"/>
          <w:sz w:val="24"/>
          <w:szCs w:val="24"/>
        </w:rPr>
      </w:pPr>
      <w:r w:rsidRPr="00204CEA">
        <w:rPr>
          <w:rFonts w:ascii="Times New Roman" w:hAnsi="Times New Roman" w:cs="Times New Roman"/>
          <w:sz w:val="24"/>
          <w:szCs w:val="24"/>
        </w:rPr>
        <w:t>La entidad reconocerá los bienes o servicios recibidos o adquiridos en una transacción con pagos basados en acciones, en el momento de la obtención de dichos bienes o cuando dichos servicios sean recibidos. La entidad reconocerá el correspondiente incremento en el patrimonio neto, si los bienes o servicios hubiesen sido recibidos en una transacción con pagos basados en acciones que se liquide en instrumentos de patrimonio, o reconocerá un pasivo si los bienes o servicios hubieran sido adquiridos en una transacción con pagos basados en acciones que se liquiden en efectivo.</w:t>
      </w:r>
    </w:p>
    <w:p w:rsidR="00D553E6" w:rsidRPr="00204CEA" w:rsidRDefault="00303DDB" w:rsidP="00801D62">
      <w:pPr>
        <w:pStyle w:val="Sinespaciado"/>
        <w:numPr>
          <w:ilvl w:val="0"/>
          <w:numId w:val="49"/>
        </w:numPr>
        <w:spacing w:line="360" w:lineRule="auto"/>
        <w:jc w:val="both"/>
        <w:rPr>
          <w:rFonts w:ascii="Times New Roman" w:hAnsi="Times New Roman" w:cs="Times New Roman"/>
          <w:sz w:val="24"/>
          <w:szCs w:val="24"/>
        </w:rPr>
      </w:pPr>
      <w:r w:rsidRPr="00204CEA">
        <w:rPr>
          <w:rFonts w:ascii="Times New Roman" w:hAnsi="Times New Roman" w:cs="Times New Roman"/>
          <w:sz w:val="24"/>
          <w:szCs w:val="24"/>
        </w:rPr>
        <w:t>Cuando los bienes o servicios recibidos o adquiridos en una transacción con pagos basados en acciones no reúnan las condiciones para su reconocimiento como activos, se reconocerán como gastos.</w:t>
      </w:r>
    </w:p>
    <w:p w:rsidR="00303DDB" w:rsidRPr="00204CEA" w:rsidRDefault="00303DDB" w:rsidP="00801D62">
      <w:pPr>
        <w:pStyle w:val="Sinespaciado"/>
        <w:numPr>
          <w:ilvl w:val="0"/>
          <w:numId w:val="49"/>
        </w:numPr>
        <w:spacing w:line="360" w:lineRule="auto"/>
        <w:jc w:val="both"/>
        <w:rPr>
          <w:rFonts w:ascii="Times New Roman" w:hAnsi="Times New Roman" w:cs="Times New Roman"/>
          <w:sz w:val="24"/>
          <w:szCs w:val="24"/>
        </w:rPr>
      </w:pPr>
      <w:r w:rsidRPr="00204CEA">
        <w:rPr>
          <w:rFonts w:ascii="Times New Roman" w:hAnsi="Times New Roman" w:cs="Times New Roman"/>
          <w:sz w:val="24"/>
          <w:szCs w:val="24"/>
        </w:rPr>
        <w:t>Normalmente, surgirá un gasto por el consumo de bienes o servicios. Por ejemplo, los servicios se consumen, normalmente, de forma inmediata, en cuyo caso se reconocerá un gasto cuando la contraparte preste el servicio. Los bienes pueden ser consumidos a lo largo de un periodo de tiempo o, en el caso de las existencias, vendidos en un momento posterior, en cuyo caso se reconocerá un gasto cuando los bienes sean consumidos o vendidos. Sin embargo, a veces es necesario reconocer el gasto antes de que los bienes o servicios sean consumidos o vendidos, porque no cumplen los requisitos para su reconocimiento como activos. Por ejemplo, la entidad podría adquirir bienes como parte de la fase de investigación de un proyecto para desarrollar un nuevo producto. Aunque tales bienes no hayan sido consumidos, podrían no reconocerse como activos, según las NIIF aplicables.</w:t>
      </w:r>
    </w:p>
    <w:p w:rsidR="00303DDB" w:rsidRPr="00204CEA" w:rsidRDefault="00D553E6" w:rsidP="00801D62">
      <w:pPr>
        <w:pStyle w:val="Ttulo2"/>
        <w:spacing w:line="360" w:lineRule="auto"/>
        <w:jc w:val="both"/>
        <w:rPr>
          <w:sz w:val="24"/>
          <w:szCs w:val="24"/>
        </w:rPr>
      </w:pPr>
      <w:r w:rsidRPr="00204CEA">
        <w:rPr>
          <w:rStyle w:val="cufon-alt"/>
          <w:sz w:val="24"/>
          <w:szCs w:val="24"/>
        </w:rPr>
        <w:lastRenderedPageBreak/>
        <w:t>TRANSACCIONES CON PAGOS BASADOS EN ACCIONES LIQUIDADAS MEDIANTE INSTRUMENTOS DE PATRIMONIO</w:t>
      </w:r>
    </w:p>
    <w:p w:rsidR="00303DDB" w:rsidRPr="00204CEA" w:rsidRDefault="00303DDB" w:rsidP="00801D62">
      <w:pPr>
        <w:pStyle w:val="Ttulo3"/>
        <w:spacing w:line="360" w:lineRule="auto"/>
        <w:jc w:val="both"/>
        <w:rPr>
          <w:sz w:val="24"/>
          <w:szCs w:val="24"/>
        </w:rPr>
      </w:pPr>
      <w:r w:rsidRPr="00204CEA">
        <w:rPr>
          <w:rStyle w:val="cufon-alt"/>
          <w:sz w:val="24"/>
          <w:szCs w:val="24"/>
        </w:rPr>
        <w:t>Aspectos generales</w:t>
      </w:r>
    </w:p>
    <w:p w:rsidR="00303DDB" w:rsidRPr="00204CEA" w:rsidRDefault="00303DDB" w:rsidP="00801D62">
      <w:pPr>
        <w:pStyle w:val="NormalWeb"/>
        <w:numPr>
          <w:ilvl w:val="0"/>
          <w:numId w:val="16"/>
        </w:numPr>
        <w:spacing w:line="360" w:lineRule="auto"/>
        <w:jc w:val="both"/>
      </w:pPr>
      <w:r w:rsidRPr="00204CEA">
        <w:t>En las transacciones con pagos basados en acciones liquidadas mediante instrumentos de patrimonio la entidad valorará los bienes o servicios recibidos, así como el correspondiente incremento en el patrimonio neto, directamente al valor razonable de los bienes o servicios recibidos, a menos que dicho valor razonable no pueda ser estimado con fiabilidad. Si la entidad no pudiera estimar con fiabilidad el valor razonable de los bienes o servicios recibidos, la entidad determinará su valor, así como el correspondiente incremento de patrimonio neto, indirectamente, por referencia</w:t>
      </w:r>
      <w:r w:rsidR="00D553E6" w:rsidRPr="00204CEA">
        <w:t xml:space="preserve"> </w:t>
      </w:r>
      <w:r w:rsidR="00204CEA">
        <w:t>(</w:t>
      </w:r>
      <w:r w:rsidRPr="00204CEA">
        <w:t>10) al valor razonable de los instrumentos de patrimonio concedidos.</w:t>
      </w:r>
    </w:p>
    <w:p w:rsidR="00303DDB" w:rsidRPr="00204CEA" w:rsidRDefault="00303DDB" w:rsidP="00801D62">
      <w:pPr>
        <w:pStyle w:val="NormalWeb"/>
        <w:numPr>
          <w:ilvl w:val="0"/>
          <w:numId w:val="16"/>
        </w:numPr>
        <w:spacing w:line="360" w:lineRule="auto"/>
        <w:jc w:val="both"/>
      </w:pPr>
      <w:r w:rsidRPr="00204CEA">
        <w:t>Para aplicar lo dispuesto en el párrafo 10 a transacciones con empleados y terceros que suministren servicios similares</w:t>
      </w:r>
      <w:r w:rsidR="00D553E6" w:rsidRPr="00204CEA">
        <w:t xml:space="preserve"> </w:t>
      </w:r>
      <w:r w:rsidR="00204CEA">
        <w:t>(</w:t>
      </w:r>
      <w:r w:rsidRPr="00204CEA">
        <w:t>11), la entidad determinará el valor razonable de los servicios recibidos por referencia al valor razonable de los instrumentos de patrimonio ofrecidos, porque habitualmente no será posible estimar de manera fiable el valor razonable de los servicios recibidos, como se expone en el párrafo 12. El valor razonable de esos instrumentos de patrimonio se determinará en la fecha de concesión.</w:t>
      </w:r>
    </w:p>
    <w:p w:rsidR="00303DDB" w:rsidRPr="00204CEA" w:rsidRDefault="00303DDB" w:rsidP="00801D62">
      <w:pPr>
        <w:pStyle w:val="NormalWeb"/>
        <w:numPr>
          <w:ilvl w:val="0"/>
          <w:numId w:val="16"/>
        </w:numPr>
        <w:spacing w:line="360" w:lineRule="auto"/>
        <w:jc w:val="both"/>
      </w:pPr>
      <w:r w:rsidRPr="00204CEA">
        <w:t xml:space="preserve">Normalmente, las acciones, las opciones sobre acciones u otros instrumentos de patrimonio se conceden a los empleados como parte de su remuneración, junto con un sueldo en efectivo y otras prestaciones para los mismos. Habitualmente, no será posible valorar directamente los servicios recibidos por cada componente concreto que forme parte del conjunto de remuneraciones a los empleados. Igualmente, podría no ser posible determinar el valor razonable del paquete completo de la remuneración del empleado independientemente, sin medir de forma directa el valor razonable de los instrumentos de patrimonio concedidos. Además, las acciones o las opciones sobre acciones se concederán a menudo como parte de un acuerdo de bonificación, no como parte de la retribución básica; por ejemplo, es habitual encontrarlas como un incentivo a los empleados para que continúen prestando sus servicios a la entidad o para recompensarles por los esfuerzos realizados en la </w:t>
      </w:r>
      <w:r w:rsidRPr="00204CEA">
        <w:lastRenderedPageBreak/>
        <w:t>mejora del rendimiento de la empresa. Con la concesión de acciones o de opciones sobre acciones, además del resto de la retribución, la entidad paga una remuneración adicional para obtener ciertos beneficios económicos adicionales. La estimación del valor razonable de dichos beneficios adicionales es probable que sea una tarea difícil. Dada la dificultad para determinar directamente el valor razonable de los servicios recibidos, la entidad determinará el valor razonable de los mismos por referencia al valor razonable de los instrumentos de patrimonio concedidos.</w:t>
      </w:r>
    </w:p>
    <w:p w:rsidR="00303DDB" w:rsidRPr="00204CEA" w:rsidRDefault="00303DDB" w:rsidP="00801D62">
      <w:pPr>
        <w:pStyle w:val="NormalWeb"/>
        <w:numPr>
          <w:ilvl w:val="0"/>
          <w:numId w:val="16"/>
        </w:numPr>
        <w:spacing w:line="360" w:lineRule="auto"/>
        <w:jc w:val="both"/>
      </w:pPr>
      <w:r w:rsidRPr="00204CEA">
        <w:t>Para aplicar los requerimientos del párrafo 10 a las transacciones con terceros distintos de los empleados, existirá una presunción iuris tantum (es decir, que admite prueba en contrario) de que el valor razonable de los bienes o servicios recibidos puede estimarse con fiabilidad. Dicho valor razonable se medirá en la fecha en que la entidad obtenga los bienes o la otra parte preste los servicios. En los raros casos en que la entidad refute esta presunción, porque no pueda estimar con fiabilidad el valor razonable de los bienes o servicios recibidos, valorará los bienes o servicios recibidos, y el incremento correspondiente en el patrimonio neto, indirectamente por referencia al valor razonable de los instrumentos de patrimonio concedidos, valorados en la fecha en que la entidad obtenga los bienes o la otra parte preste los servicios.</w:t>
      </w:r>
    </w:p>
    <w:p w:rsidR="00303DDB" w:rsidRPr="00204CEA" w:rsidRDefault="00D553E6" w:rsidP="00801D62">
      <w:pPr>
        <w:pStyle w:val="NormalWeb"/>
        <w:spacing w:line="360" w:lineRule="auto"/>
        <w:jc w:val="both"/>
        <w:rPr>
          <w:b/>
        </w:rPr>
      </w:pPr>
      <w:r w:rsidRPr="00204CEA">
        <w:rPr>
          <w:b/>
        </w:rPr>
        <w:t>FECHA DE VIGENCIA</w:t>
      </w:r>
    </w:p>
    <w:p w:rsidR="00D553E6" w:rsidRPr="00204CEA" w:rsidRDefault="00D553E6" w:rsidP="00801D62">
      <w:pPr>
        <w:pStyle w:val="NormalWeb"/>
        <w:spacing w:line="360" w:lineRule="auto"/>
        <w:jc w:val="both"/>
      </w:pPr>
      <w:r w:rsidRPr="00204CEA">
        <w:t>La entidad aplicará esta NIIF en los ejercicios que comiencen a partir del 1 de Enero de 2005</w:t>
      </w:r>
    </w:p>
    <w:p w:rsidR="00D553E6" w:rsidRPr="00204CEA" w:rsidRDefault="00D553E6" w:rsidP="00801D62">
      <w:pPr>
        <w:spacing w:line="360" w:lineRule="auto"/>
        <w:jc w:val="both"/>
        <w:rPr>
          <w:rFonts w:ascii="Times New Roman" w:hAnsi="Times New Roman" w:cs="Times New Roman"/>
          <w:b/>
          <w:color w:val="0070C0"/>
          <w:sz w:val="28"/>
          <w:szCs w:val="24"/>
        </w:rPr>
      </w:pPr>
      <w:r w:rsidRPr="00204CEA">
        <w:rPr>
          <w:rFonts w:ascii="Times New Roman" w:hAnsi="Times New Roman" w:cs="Times New Roman"/>
          <w:b/>
          <w:color w:val="0070C0"/>
          <w:sz w:val="28"/>
          <w:szCs w:val="24"/>
        </w:rPr>
        <w:t>NIIF N°3. COMBINACIONES DE NEGOCIOS.</w:t>
      </w:r>
    </w:p>
    <w:p w:rsidR="00D553E6" w:rsidRPr="00204CEA" w:rsidRDefault="00D553E6" w:rsidP="00801D62">
      <w:pPr>
        <w:pStyle w:val="Ttulo2"/>
        <w:spacing w:line="360" w:lineRule="auto"/>
        <w:jc w:val="both"/>
        <w:rPr>
          <w:sz w:val="24"/>
          <w:szCs w:val="24"/>
        </w:rPr>
      </w:pPr>
      <w:r w:rsidRPr="00204CEA">
        <w:rPr>
          <w:rStyle w:val="cufon-alt"/>
          <w:sz w:val="24"/>
          <w:szCs w:val="24"/>
        </w:rPr>
        <w:t>OBJETIVO</w:t>
      </w:r>
    </w:p>
    <w:p w:rsidR="00D553E6" w:rsidRPr="00204CEA" w:rsidRDefault="00D553E6" w:rsidP="00801D62">
      <w:pPr>
        <w:pStyle w:val="NormalWeb"/>
        <w:spacing w:line="360" w:lineRule="auto"/>
        <w:jc w:val="both"/>
      </w:pPr>
      <w:r w:rsidRPr="00204CEA">
        <w:t>El objetivo de esta NIIF es mejorar la relevancia, fiabilidad y comparabilidad de la información sobre combinaciones de negocios y sus efectos que una entidad que informa proporciona en sus estados financieros. Para la consecución del señalado objetivo esta NIIF establece principios y requerimientos sobre cómo la entidad adquirente:</w:t>
      </w:r>
    </w:p>
    <w:p w:rsidR="00D553E6" w:rsidRPr="00204CEA" w:rsidRDefault="00D553E6" w:rsidP="00801D62">
      <w:pPr>
        <w:pStyle w:val="NormalWeb"/>
        <w:numPr>
          <w:ilvl w:val="0"/>
          <w:numId w:val="22"/>
        </w:numPr>
        <w:spacing w:line="360" w:lineRule="auto"/>
        <w:jc w:val="both"/>
      </w:pPr>
      <w:r w:rsidRPr="00204CEA">
        <w:lastRenderedPageBreak/>
        <w:t>reconocerá y valorará en sus estados financieros los activos adquiridos identificables, los pasivos asumidos y cualquier participación no dominante en la entidad adquirida;</w:t>
      </w:r>
    </w:p>
    <w:p w:rsidR="00D553E6" w:rsidRPr="00204CEA" w:rsidRDefault="00D553E6" w:rsidP="00801D62">
      <w:pPr>
        <w:pStyle w:val="NormalWeb"/>
        <w:numPr>
          <w:ilvl w:val="0"/>
          <w:numId w:val="22"/>
        </w:numPr>
        <w:spacing w:line="360" w:lineRule="auto"/>
        <w:jc w:val="both"/>
      </w:pPr>
      <w:r w:rsidRPr="00204CEA">
        <w:t>reconocerá y valorará el fondo de comercio adquirido en la combinación de negocios o una ganancia procedente de una compra en condiciones muy ventajosas; y</w:t>
      </w:r>
    </w:p>
    <w:p w:rsidR="00D553E6" w:rsidRPr="00204CEA" w:rsidRDefault="00D553E6" w:rsidP="00801D62">
      <w:pPr>
        <w:pStyle w:val="NormalWeb"/>
        <w:numPr>
          <w:ilvl w:val="0"/>
          <w:numId w:val="22"/>
        </w:numPr>
        <w:spacing w:line="360" w:lineRule="auto"/>
        <w:jc w:val="both"/>
      </w:pPr>
      <w:r w:rsidRPr="00204CEA">
        <w:t>determinará qué información se ha de revelar para permitir a los usuarios de los estados financieros evaluar la naturaleza y los efectos financieros de la combinación de negocios.</w:t>
      </w:r>
    </w:p>
    <w:p w:rsidR="00D553E6" w:rsidRPr="00204CEA" w:rsidRDefault="00D553E6" w:rsidP="00801D62">
      <w:pPr>
        <w:pStyle w:val="Ttulo2"/>
        <w:spacing w:line="360" w:lineRule="auto"/>
        <w:jc w:val="both"/>
        <w:rPr>
          <w:sz w:val="24"/>
          <w:szCs w:val="24"/>
        </w:rPr>
      </w:pPr>
      <w:r w:rsidRPr="00204CEA">
        <w:rPr>
          <w:rStyle w:val="cufon-alt"/>
          <w:sz w:val="24"/>
          <w:szCs w:val="24"/>
        </w:rPr>
        <w:t>ALCANCE</w:t>
      </w:r>
    </w:p>
    <w:p w:rsidR="00D553E6" w:rsidRPr="00204CEA" w:rsidRDefault="00D553E6" w:rsidP="00801D62">
      <w:pPr>
        <w:pStyle w:val="NormalWeb"/>
        <w:spacing w:line="360" w:lineRule="auto"/>
        <w:jc w:val="both"/>
      </w:pPr>
      <w:r w:rsidRPr="00204CEA">
        <w:t>Esta NIIF se aplicará a una transacción u otro suceso que cumpla la definición de una combinación de negocios. Esta NIIF no se aplicará a:</w:t>
      </w:r>
    </w:p>
    <w:p w:rsidR="00D553E6" w:rsidRPr="00204CEA" w:rsidRDefault="00D553E6" w:rsidP="00801D62">
      <w:pPr>
        <w:pStyle w:val="NormalWeb"/>
        <w:numPr>
          <w:ilvl w:val="0"/>
          <w:numId w:val="23"/>
        </w:numPr>
        <w:spacing w:line="360" w:lineRule="auto"/>
        <w:jc w:val="both"/>
      </w:pPr>
      <w:r w:rsidRPr="00204CEA">
        <w:t>la formación de un negocio conjunto.</w:t>
      </w:r>
    </w:p>
    <w:p w:rsidR="00423933" w:rsidRPr="00204CEA" w:rsidRDefault="00D553E6" w:rsidP="00801D62">
      <w:pPr>
        <w:pStyle w:val="NormalWeb"/>
        <w:numPr>
          <w:ilvl w:val="0"/>
          <w:numId w:val="23"/>
        </w:numPr>
        <w:spacing w:line="360" w:lineRule="auto"/>
        <w:jc w:val="both"/>
      </w:pPr>
      <w:r w:rsidRPr="00204CEA">
        <w:t>la adquisición de un activo o un grupo de activos que no constituya un negocio. En estos casos la entidad adquirente identificará y reconocerá los activos identificables individualmente adquiridos (incluyendo aquellos activos que cumplan la definición y criterios de reconocimiento de los activos intangibles de la NIC 38 Activos intangibles) y pasivos asumidos. El coste del grupo deberá distribuirse entre los activos identificables individualmente y los pasivos sobre la base de sus valores razonables relativos en la fecha de la compra. Esta transacción o suceso no dará lugar a un fondo de comercio.</w:t>
      </w:r>
    </w:p>
    <w:p w:rsidR="00D553E6" w:rsidRPr="00204CEA" w:rsidRDefault="00D553E6" w:rsidP="00801D62">
      <w:pPr>
        <w:pStyle w:val="NormalWeb"/>
        <w:numPr>
          <w:ilvl w:val="0"/>
          <w:numId w:val="23"/>
        </w:numPr>
        <w:spacing w:line="360" w:lineRule="auto"/>
        <w:jc w:val="both"/>
      </w:pPr>
      <w:r w:rsidRPr="00204CEA">
        <w:t xml:space="preserve"> una combinación de entidades o negocios bajo control común (los párrafos B1 a B4 proporcionan directrices de aplicación que guardan relación).</w:t>
      </w:r>
    </w:p>
    <w:p w:rsidR="00D553E6" w:rsidRPr="00204CEA" w:rsidRDefault="00D553E6" w:rsidP="00801D62">
      <w:pPr>
        <w:pStyle w:val="Ttulo2"/>
        <w:spacing w:line="360" w:lineRule="auto"/>
        <w:jc w:val="both"/>
        <w:rPr>
          <w:sz w:val="24"/>
          <w:szCs w:val="24"/>
        </w:rPr>
      </w:pPr>
      <w:r w:rsidRPr="00204CEA">
        <w:rPr>
          <w:rStyle w:val="cufon-alt"/>
          <w:sz w:val="24"/>
          <w:szCs w:val="24"/>
        </w:rPr>
        <w:t>IDENTIFICACIÓN DE UNA COMBINACIÓN DE NEGOCIOS</w:t>
      </w:r>
    </w:p>
    <w:p w:rsidR="00D553E6" w:rsidRPr="00204CEA" w:rsidRDefault="00D553E6" w:rsidP="00801D62">
      <w:pPr>
        <w:pStyle w:val="NormalWeb"/>
        <w:spacing w:line="360" w:lineRule="auto"/>
        <w:jc w:val="both"/>
      </w:pPr>
      <w:r w:rsidRPr="00204CEA">
        <w:t xml:space="preserve">Una entidad determinará si una transacción u otro suceso es una combinación de negocios mediante la aplicación de la definición de esta NIIF, la cual requiere que los activos adquiridos y los pasivos asumidos constituyan un negocio. Si los activos adquiridos no son un negocio, la entidad que informa contabilizará la transacción u otro suceso como una </w:t>
      </w:r>
      <w:r w:rsidRPr="00204CEA">
        <w:lastRenderedPageBreak/>
        <w:t>adquisición de un activo. Los párrafos B5 a B12 proporcionan directrices sobre la identificación de una combinación de negocios y la definición de un negocio.</w:t>
      </w:r>
    </w:p>
    <w:p w:rsidR="00D553E6" w:rsidRPr="00204CEA" w:rsidRDefault="00D553E6" w:rsidP="00801D62">
      <w:pPr>
        <w:pStyle w:val="Ttulo2"/>
        <w:spacing w:line="360" w:lineRule="auto"/>
        <w:jc w:val="both"/>
        <w:rPr>
          <w:sz w:val="24"/>
          <w:szCs w:val="24"/>
        </w:rPr>
      </w:pPr>
      <w:r w:rsidRPr="00204CEA">
        <w:rPr>
          <w:rStyle w:val="cufon-alt"/>
          <w:sz w:val="24"/>
          <w:szCs w:val="24"/>
        </w:rPr>
        <w:t>MÉTODO DE ADQUISICIÓN</w:t>
      </w:r>
    </w:p>
    <w:p w:rsidR="00D553E6" w:rsidRPr="00204CEA" w:rsidRDefault="00D553E6" w:rsidP="00801D62">
      <w:pPr>
        <w:pStyle w:val="NormalWeb"/>
        <w:numPr>
          <w:ilvl w:val="0"/>
          <w:numId w:val="21"/>
        </w:numPr>
        <w:spacing w:line="360" w:lineRule="auto"/>
        <w:jc w:val="both"/>
      </w:pPr>
      <w:r w:rsidRPr="00204CEA">
        <w:t>Una entidad contabilizará cada combinación de negocios mediante la aplicación del método de adquisición.</w:t>
      </w:r>
    </w:p>
    <w:p w:rsidR="00D553E6" w:rsidRPr="00204CEA" w:rsidRDefault="00D553E6" w:rsidP="00801D62">
      <w:pPr>
        <w:pStyle w:val="NormalWeb"/>
        <w:numPr>
          <w:ilvl w:val="0"/>
          <w:numId w:val="21"/>
        </w:numPr>
        <w:spacing w:line="360" w:lineRule="auto"/>
        <w:jc w:val="both"/>
      </w:pPr>
      <w:r w:rsidRPr="00204CEA">
        <w:t>La aplicación del método de adquisición requiere:</w:t>
      </w:r>
    </w:p>
    <w:p w:rsidR="00D553E6" w:rsidRPr="00204CEA" w:rsidRDefault="00D553E6" w:rsidP="00801D62">
      <w:pPr>
        <w:pStyle w:val="NormalWeb"/>
        <w:spacing w:line="360" w:lineRule="auto"/>
        <w:ind w:left="600"/>
        <w:jc w:val="both"/>
      </w:pPr>
      <w:r w:rsidRPr="00204CEA">
        <w:t>a) identificar la entidad adquirente;</w:t>
      </w:r>
    </w:p>
    <w:p w:rsidR="00D553E6" w:rsidRPr="00204CEA" w:rsidRDefault="00D553E6" w:rsidP="00801D62">
      <w:pPr>
        <w:pStyle w:val="NormalWeb"/>
        <w:spacing w:line="360" w:lineRule="auto"/>
        <w:ind w:left="600"/>
        <w:jc w:val="both"/>
      </w:pPr>
      <w:r w:rsidRPr="00204CEA">
        <w:t>b) determinar la fecha de adquisición;</w:t>
      </w:r>
    </w:p>
    <w:p w:rsidR="00D553E6" w:rsidRPr="00204CEA" w:rsidRDefault="00D553E6" w:rsidP="00801D62">
      <w:pPr>
        <w:pStyle w:val="NormalWeb"/>
        <w:spacing w:line="360" w:lineRule="auto"/>
        <w:ind w:left="600"/>
        <w:jc w:val="both"/>
      </w:pPr>
      <w:r w:rsidRPr="00204CEA">
        <w:t>c) reconocer y valorar los activos identificables adquiridos, los pasivos asumidos y cualquier participación no dominante en la adquirida; y</w:t>
      </w:r>
    </w:p>
    <w:p w:rsidR="00D553E6" w:rsidRPr="00204CEA" w:rsidRDefault="00D553E6" w:rsidP="00801D62">
      <w:pPr>
        <w:pStyle w:val="NormalWeb"/>
        <w:spacing w:line="360" w:lineRule="auto"/>
        <w:ind w:left="600"/>
        <w:jc w:val="both"/>
      </w:pPr>
      <w:r w:rsidRPr="00204CEA">
        <w:t>d) reconocer y valorar el fondo de comercio o una ganancia procedente de una compra en condiciones muy ventajosas.</w:t>
      </w:r>
    </w:p>
    <w:p w:rsidR="00D553E6" w:rsidRPr="00204CEA" w:rsidRDefault="00D553E6" w:rsidP="00801D62">
      <w:pPr>
        <w:pStyle w:val="Ttulo3"/>
        <w:spacing w:line="360" w:lineRule="auto"/>
        <w:jc w:val="both"/>
        <w:rPr>
          <w:sz w:val="24"/>
          <w:szCs w:val="24"/>
        </w:rPr>
      </w:pPr>
      <w:r w:rsidRPr="00204CEA">
        <w:rPr>
          <w:rStyle w:val="cufon-alt"/>
          <w:sz w:val="24"/>
          <w:szCs w:val="24"/>
        </w:rPr>
        <w:t>Identificación de la entidad adquirente</w:t>
      </w:r>
    </w:p>
    <w:p w:rsidR="00204CEA" w:rsidRDefault="00D553E6" w:rsidP="00801D62">
      <w:pPr>
        <w:pStyle w:val="NormalWeb"/>
        <w:numPr>
          <w:ilvl w:val="0"/>
          <w:numId w:val="20"/>
        </w:numPr>
        <w:spacing w:line="360" w:lineRule="auto"/>
        <w:jc w:val="both"/>
      </w:pPr>
      <w:r w:rsidRPr="00204CEA">
        <w:t>En cada combinación de negocios, una de las entidades que se combinan deberá identificarse como la adquirente.</w:t>
      </w:r>
    </w:p>
    <w:p w:rsidR="00D553E6" w:rsidRPr="00204CEA" w:rsidRDefault="00D553E6" w:rsidP="00801D62">
      <w:pPr>
        <w:pStyle w:val="NormalWeb"/>
        <w:numPr>
          <w:ilvl w:val="0"/>
          <w:numId w:val="20"/>
        </w:numPr>
        <w:spacing w:line="360" w:lineRule="auto"/>
        <w:jc w:val="both"/>
      </w:pPr>
      <w:r w:rsidRPr="00204CEA">
        <w:t>Para identificar a la adquirente -la entidad que obtiene el control de la adquirida- deberán utilizarse las directrices de la NIC 27 Estados financieros consolidados y separados. Si ha tenido lugar una combinación de negocios y la aplicación de las directrices de la NIC 27 no aclaran cuál de las entidades que se combinan es la adquirente, para llevar a cabo la mencionada determinación deberán considerarse los factores incluidos en los párrafos B14 a B18.</w:t>
      </w:r>
    </w:p>
    <w:p w:rsidR="00D553E6" w:rsidRPr="00204CEA" w:rsidRDefault="00D553E6" w:rsidP="00801D62">
      <w:pPr>
        <w:pStyle w:val="Ttulo3"/>
        <w:spacing w:line="360" w:lineRule="auto"/>
        <w:jc w:val="both"/>
        <w:rPr>
          <w:sz w:val="24"/>
          <w:szCs w:val="24"/>
        </w:rPr>
      </w:pPr>
      <w:r w:rsidRPr="00204CEA">
        <w:rPr>
          <w:rStyle w:val="cufon-alt"/>
          <w:sz w:val="24"/>
          <w:szCs w:val="24"/>
        </w:rPr>
        <w:t>Determinación de la fecha de adquisición</w:t>
      </w:r>
    </w:p>
    <w:p w:rsidR="00D553E6" w:rsidRPr="00204CEA" w:rsidRDefault="00D553E6" w:rsidP="00801D62">
      <w:pPr>
        <w:pStyle w:val="NormalWeb"/>
        <w:numPr>
          <w:ilvl w:val="0"/>
          <w:numId w:val="19"/>
        </w:numPr>
        <w:spacing w:line="360" w:lineRule="auto"/>
        <w:jc w:val="both"/>
      </w:pPr>
      <w:r w:rsidRPr="00204CEA">
        <w:t>La adquirente identificará la fecha de adquisición que será aquella en la que obtiene el control de la adquirida.</w:t>
      </w:r>
    </w:p>
    <w:p w:rsidR="00D553E6" w:rsidRPr="00204CEA" w:rsidRDefault="00D553E6" w:rsidP="00801D62">
      <w:pPr>
        <w:pStyle w:val="NormalWeb"/>
        <w:numPr>
          <w:ilvl w:val="0"/>
          <w:numId w:val="18"/>
        </w:numPr>
        <w:spacing w:line="360" w:lineRule="auto"/>
        <w:jc w:val="both"/>
      </w:pPr>
      <w:r w:rsidRPr="00204CEA">
        <w:lastRenderedPageBreak/>
        <w:t>La fecha en la cual la adquirente obtiene el control sobre la adquirida es generalmente aquella en la que la adquirente transfiere legalmente la contraprestación, adquiere los activos y asume los pasivos de la adquirida -la fecha de cierre. Sin embargo, la adquirente puede obtener el control en una fecha anterior o posterior a la fecha de cierre. Por ejemplo, la fecha de adquisición precederá a la fecha de cierre si un acuerdo escrito prevé que la adquirente obtenga el control de la adquirida en una fecha anterior a la fecha de cierre. Una adquirente considerará todos los hechos y circunstancias pertinentes para identificar la fecha de adquisición.</w:t>
      </w:r>
    </w:p>
    <w:p w:rsidR="00D553E6" w:rsidRPr="00204CEA" w:rsidRDefault="00D553E6" w:rsidP="00801D62">
      <w:pPr>
        <w:pStyle w:val="Ttulo2"/>
        <w:spacing w:line="360" w:lineRule="auto"/>
        <w:jc w:val="both"/>
        <w:rPr>
          <w:sz w:val="24"/>
          <w:szCs w:val="24"/>
        </w:rPr>
      </w:pPr>
      <w:r w:rsidRPr="00204CEA">
        <w:rPr>
          <w:rStyle w:val="cufon-alt"/>
          <w:sz w:val="24"/>
          <w:szCs w:val="24"/>
        </w:rPr>
        <w:t>INFORMACIÓN A REVELAR</w:t>
      </w:r>
    </w:p>
    <w:p w:rsidR="00D553E6" w:rsidRPr="00204CEA" w:rsidRDefault="00D553E6" w:rsidP="00801D62">
      <w:pPr>
        <w:pStyle w:val="NormalWeb"/>
        <w:spacing w:line="360" w:lineRule="auto"/>
        <w:jc w:val="both"/>
      </w:pPr>
      <w:r w:rsidRPr="00204CEA">
        <w:t>La adquirente revelará la información que permita a los usuarios de sus estados financieros evaluar la naturaleza y efectos financieros de una combinación de negocios que haya efectuado:</w:t>
      </w:r>
    </w:p>
    <w:p w:rsidR="00D553E6" w:rsidRPr="00204CEA" w:rsidRDefault="00D553E6" w:rsidP="00801D62">
      <w:pPr>
        <w:pStyle w:val="NormalWeb"/>
        <w:numPr>
          <w:ilvl w:val="0"/>
          <w:numId w:val="17"/>
        </w:numPr>
        <w:spacing w:line="360" w:lineRule="auto"/>
        <w:jc w:val="both"/>
      </w:pPr>
      <w:r w:rsidRPr="00204CEA">
        <w:t>durante el ejercicio corriente sobre el que se informa; o</w:t>
      </w:r>
    </w:p>
    <w:p w:rsidR="00D553E6" w:rsidRPr="00204CEA" w:rsidRDefault="00D553E6" w:rsidP="00801D62">
      <w:pPr>
        <w:pStyle w:val="NormalWeb"/>
        <w:numPr>
          <w:ilvl w:val="0"/>
          <w:numId w:val="17"/>
        </w:numPr>
        <w:spacing w:line="360" w:lineRule="auto"/>
        <w:jc w:val="both"/>
      </w:pPr>
      <w:r w:rsidRPr="00204CEA">
        <w:t>después de la fecha de cierre del ejercicio sobre el que se informa pero antes de que los estados financieros hayan sido autorizados para su emisión</w:t>
      </w:r>
    </w:p>
    <w:p w:rsidR="00303DDB" w:rsidRPr="00204CEA" w:rsidRDefault="00423933" w:rsidP="00801D62">
      <w:pPr>
        <w:spacing w:line="360" w:lineRule="auto"/>
        <w:jc w:val="both"/>
        <w:rPr>
          <w:rFonts w:ascii="Times New Roman" w:hAnsi="Times New Roman" w:cs="Times New Roman"/>
          <w:b/>
          <w:sz w:val="24"/>
          <w:szCs w:val="24"/>
        </w:rPr>
      </w:pPr>
      <w:r w:rsidRPr="00204CEA">
        <w:rPr>
          <w:rFonts w:ascii="Times New Roman" w:hAnsi="Times New Roman" w:cs="Times New Roman"/>
          <w:b/>
          <w:sz w:val="24"/>
          <w:szCs w:val="24"/>
        </w:rPr>
        <w:t>FECHA DE VIGENCIA</w:t>
      </w:r>
    </w:p>
    <w:p w:rsidR="00423933" w:rsidRDefault="00423933" w:rsidP="00801D62">
      <w:pPr>
        <w:spacing w:line="360" w:lineRule="auto"/>
        <w:jc w:val="both"/>
        <w:rPr>
          <w:rFonts w:ascii="Times New Roman" w:hAnsi="Times New Roman" w:cs="Times New Roman"/>
          <w:sz w:val="24"/>
          <w:szCs w:val="24"/>
        </w:rPr>
      </w:pPr>
      <w:r w:rsidRPr="00204CEA">
        <w:rPr>
          <w:rFonts w:ascii="Times New Roman" w:hAnsi="Times New Roman" w:cs="Times New Roman"/>
          <w:sz w:val="24"/>
          <w:szCs w:val="24"/>
        </w:rPr>
        <w:t xml:space="preserve">La entidad aplicará esta NIIF en la contabilidad de las combinaciones de negocios en las que la fecha de acuerdo sea a </w:t>
      </w:r>
      <w:r w:rsidR="00204CEA">
        <w:rPr>
          <w:rFonts w:ascii="Times New Roman" w:hAnsi="Times New Roman" w:cs="Times New Roman"/>
          <w:sz w:val="24"/>
          <w:szCs w:val="24"/>
        </w:rPr>
        <w:t>partir del 31 de marzo de 2004.</w:t>
      </w:r>
    </w:p>
    <w:p w:rsidR="00204CEA" w:rsidRPr="00204CEA" w:rsidRDefault="00204CEA" w:rsidP="00801D62">
      <w:pPr>
        <w:spacing w:line="360" w:lineRule="auto"/>
        <w:jc w:val="both"/>
        <w:rPr>
          <w:rFonts w:ascii="Times New Roman" w:hAnsi="Times New Roman" w:cs="Times New Roman"/>
          <w:sz w:val="24"/>
          <w:szCs w:val="24"/>
        </w:rPr>
      </w:pPr>
    </w:p>
    <w:p w:rsidR="00423933" w:rsidRPr="00204CEA" w:rsidRDefault="00423933" w:rsidP="00801D62">
      <w:pPr>
        <w:spacing w:line="360" w:lineRule="auto"/>
        <w:jc w:val="both"/>
        <w:rPr>
          <w:rFonts w:ascii="Times New Roman" w:hAnsi="Times New Roman" w:cs="Times New Roman"/>
          <w:b/>
          <w:color w:val="0070C0"/>
          <w:sz w:val="28"/>
          <w:szCs w:val="24"/>
        </w:rPr>
      </w:pPr>
      <w:r w:rsidRPr="00204CEA">
        <w:rPr>
          <w:rFonts w:ascii="Times New Roman" w:hAnsi="Times New Roman" w:cs="Times New Roman"/>
          <w:b/>
          <w:color w:val="0070C0"/>
          <w:sz w:val="28"/>
          <w:szCs w:val="24"/>
        </w:rPr>
        <w:t>NIIF N°4. CONTRATOS DE SEGURO.</w:t>
      </w:r>
    </w:p>
    <w:p w:rsidR="00423933" w:rsidRPr="00204CEA" w:rsidRDefault="00423933" w:rsidP="00801D62">
      <w:pPr>
        <w:pStyle w:val="Ttulo2"/>
        <w:spacing w:line="360" w:lineRule="auto"/>
        <w:jc w:val="both"/>
        <w:rPr>
          <w:sz w:val="24"/>
          <w:szCs w:val="24"/>
        </w:rPr>
      </w:pPr>
      <w:r w:rsidRPr="00204CEA">
        <w:rPr>
          <w:rStyle w:val="cufon-alt"/>
          <w:sz w:val="24"/>
          <w:szCs w:val="24"/>
        </w:rPr>
        <w:t>OBJETIVO</w:t>
      </w:r>
    </w:p>
    <w:p w:rsidR="00423933" w:rsidRPr="00204CEA" w:rsidRDefault="00423933" w:rsidP="00801D62">
      <w:pPr>
        <w:pStyle w:val="NormalWeb"/>
        <w:spacing w:line="360" w:lineRule="auto"/>
        <w:jc w:val="both"/>
      </w:pPr>
      <w:r w:rsidRPr="00204CEA">
        <w:t>El objetivo de esta NIIF consiste en especificar la información financiera que debe ofrecer, sobre los contratos de seguro, la entidad emisora de dichos contratos (que en esta NIIF se denomina aseguradora), hasta que el Consejo complete la segunda fase de este proyecto sobre contratos de seguro. En particular, esta NIIF requiere:</w:t>
      </w:r>
    </w:p>
    <w:p w:rsidR="00423933" w:rsidRPr="00204CEA" w:rsidRDefault="00423933" w:rsidP="00801D62">
      <w:pPr>
        <w:pStyle w:val="NormalWeb"/>
        <w:numPr>
          <w:ilvl w:val="0"/>
          <w:numId w:val="24"/>
        </w:numPr>
        <w:spacing w:line="360" w:lineRule="auto"/>
        <w:jc w:val="both"/>
      </w:pPr>
      <w:r w:rsidRPr="00204CEA">
        <w:lastRenderedPageBreak/>
        <w:t xml:space="preserve">Realizar un conjunto de mejoras limitadas en la contabilización de los contratos de seguro por parte de las aseguradoras. </w:t>
      </w:r>
    </w:p>
    <w:p w:rsidR="00423933" w:rsidRPr="00204CEA" w:rsidRDefault="00423933" w:rsidP="00801D62">
      <w:pPr>
        <w:pStyle w:val="NormalWeb"/>
        <w:numPr>
          <w:ilvl w:val="0"/>
          <w:numId w:val="24"/>
        </w:numPr>
        <w:spacing w:line="360" w:lineRule="auto"/>
        <w:jc w:val="both"/>
      </w:pPr>
      <w:r w:rsidRPr="00204CEA">
        <w:t>Revelar información, en los estados financieros de la aseguradora, que identifique y explique los importes que se derivan de los contratos de seguro, a la vez que ayude a los usuarios de dichos estados a comprender el importe, calendario e  incertidumbre de los flujos de efectivo futuros procedentes de esos contratos.</w:t>
      </w:r>
    </w:p>
    <w:p w:rsidR="00423933" w:rsidRPr="00204CEA" w:rsidRDefault="00423933" w:rsidP="00801D62">
      <w:pPr>
        <w:pStyle w:val="Ttulo2"/>
        <w:spacing w:line="360" w:lineRule="auto"/>
        <w:jc w:val="both"/>
        <w:rPr>
          <w:sz w:val="24"/>
          <w:szCs w:val="24"/>
        </w:rPr>
      </w:pPr>
      <w:r w:rsidRPr="00204CEA">
        <w:rPr>
          <w:rStyle w:val="cufon-alt"/>
          <w:sz w:val="24"/>
          <w:szCs w:val="24"/>
        </w:rPr>
        <w:t>ALCANCE</w:t>
      </w:r>
    </w:p>
    <w:p w:rsidR="00423933" w:rsidRPr="00204CEA" w:rsidRDefault="00423933" w:rsidP="00801D62">
      <w:pPr>
        <w:pStyle w:val="NormalWeb"/>
        <w:spacing w:line="360" w:lineRule="auto"/>
        <w:jc w:val="both"/>
      </w:pPr>
      <w:r w:rsidRPr="00204CEA">
        <w:t>La entidad aplicará esta NIIF a los:</w:t>
      </w:r>
    </w:p>
    <w:p w:rsidR="00423933" w:rsidRPr="00204CEA" w:rsidRDefault="00423933" w:rsidP="00801D62">
      <w:pPr>
        <w:pStyle w:val="NormalWeb"/>
        <w:numPr>
          <w:ilvl w:val="0"/>
          <w:numId w:val="25"/>
        </w:numPr>
        <w:spacing w:line="360" w:lineRule="auto"/>
        <w:ind w:left="709" w:hanging="283"/>
        <w:jc w:val="both"/>
      </w:pPr>
      <w:r w:rsidRPr="00204CEA">
        <w:t xml:space="preserve">Contratos de seguro (incluyendo también los contratos de reaseguro que acepte) que      emita y los contratos de reaseguro que ceda. </w:t>
      </w:r>
    </w:p>
    <w:p w:rsidR="00423933" w:rsidRPr="00204CEA" w:rsidRDefault="00423933" w:rsidP="00801D62">
      <w:pPr>
        <w:pStyle w:val="NormalWeb"/>
        <w:numPr>
          <w:ilvl w:val="0"/>
          <w:numId w:val="25"/>
        </w:numPr>
        <w:spacing w:line="360" w:lineRule="auto"/>
        <w:ind w:left="709" w:hanging="283"/>
        <w:jc w:val="both"/>
      </w:pPr>
      <w:r w:rsidRPr="00204CEA">
        <w:t>Instrumentos financieros que emita con un componente de participación discrecional (véase el párrafo 35). La NIIF 7 Instrumentos financieros: Información a revelar requiere la revelación de información sobre los instrumentos financieros, incluyendo los instrumentos que contengan dicho componente.</w:t>
      </w:r>
    </w:p>
    <w:p w:rsidR="00423933" w:rsidRPr="00204CEA" w:rsidRDefault="00423933" w:rsidP="00801D62">
      <w:pPr>
        <w:pStyle w:val="NormalWeb"/>
        <w:numPr>
          <w:ilvl w:val="0"/>
          <w:numId w:val="18"/>
        </w:numPr>
        <w:spacing w:line="360" w:lineRule="auto"/>
        <w:jc w:val="both"/>
      </w:pPr>
      <w:r w:rsidRPr="00204CEA">
        <w:t>Esta NIIF no aborda otros aspectos de la contabilización de las entidades aseguradoras, como la contabilización de los activos financieros que sean propiedad de entidades aseguradoras y pasivos financieros emitidos por aseguradoras (véanse la NIC 32 Instrumentos financieros: Presentación, la NIC 39 Instrumentos financieros: Reconocimiento y valoración y la NIIF 7), salvo por lo establecido en las disposiciones transitorias del párrafo 45.</w:t>
      </w:r>
    </w:p>
    <w:p w:rsidR="00423933" w:rsidRPr="00204CEA" w:rsidRDefault="00423933" w:rsidP="00801D62">
      <w:pPr>
        <w:pStyle w:val="NormalWeb"/>
        <w:spacing w:line="360" w:lineRule="auto"/>
        <w:jc w:val="both"/>
      </w:pPr>
      <w:r w:rsidRPr="00204CEA">
        <w:t>La entidad no aplicará esta NIIF a:</w:t>
      </w:r>
    </w:p>
    <w:p w:rsidR="00423933" w:rsidRPr="00204CEA" w:rsidRDefault="00423933" w:rsidP="00801D62">
      <w:pPr>
        <w:pStyle w:val="NormalWeb"/>
        <w:numPr>
          <w:ilvl w:val="0"/>
          <w:numId w:val="26"/>
        </w:numPr>
        <w:spacing w:line="360" w:lineRule="auto"/>
        <w:jc w:val="both"/>
      </w:pPr>
      <w:r w:rsidRPr="00204CEA">
        <w:t xml:space="preserve">Las garantías de productos emitidas directamente por el fabricante, el mayorista o el minorista (véase la NIC 18 Ingresos ordinarios y la NIC 37 Provisiones, pasivos contingentes y activos contingentes). </w:t>
      </w:r>
    </w:p>
    <w:p w:rsidR="00423933" w:rsidRPr="00204CEA" w:rsidRDefault="00423933" w:rsidP="00801D62">
      <w:pPr>
        <w:pStyle w:val="NormalWeb"/>
        <w:numPr>
          <w:ilvl w:val="0"/>
          <w:numId w:val="26"/>
        </w:numPr>
        <w:spacing w:line="360" w:lineRule="auto"/>
        <w:jc w:val="both"/>
      </w:pPr>
      <w:r w:rsidRPr="00204CEA">
        <w:t xml:space="preserve">Los activos y los pasivos de los empleadores que se deriven de los planes de prestaciones definidas (véanse la NIC 19 Retribuciones a los empleados y la NIIF 2 Pagos basados en acciones), ni a las obligaciones de prestaciones por retiro de las </w:t>
      </w:r>
      <w:r w:rsidRPr="00204CEA">
        <w:lastRenderedPageBreak/>
        <w:t xml:space="preserve">que informan los planes de prestaciones definidas por retiro (véase la NIC 26 Contabilización e información financiera sobre planes de prestaciones por jubilación). </w:t>
      </w:r>
    </w:p>
    <w:p w:rsidR="00423933" w:rsidRPr="00204CEA" w:rsidRDefault="00423933" w:rsidP="00801D62">
      <w:pPr>
        <w:pStyle w:val="NormalWeb"/>
        <w:numPr>
          <w:ilvl w:val="0"/>
          <w:numId w:val="26"/>
        </w:numPr>
        <w:spacing w:line="360" w:lineRule="auto"/>
        <w:jc w:val="both"/>
      </w:pPr>
      <w:r w:rsidRPr="00204CEA">
        <w:t xml:space="preserve">Los derechos contractuales y las obligaciones contractuales de tipo contingente, que dependan del uso futuro, o del derecho al uso, de una partida no financiera (por ejemplo de algunas cuotas por licencia, regalías, cuotas contingentes en arrendamientos y otras partidas similares), así como el valor residual garantizado para el arrendatario que esté implícito en un acuerdo de arrendamiento financiero (véanse la NIC 17 Arrendamientos, NIC 18 Ingresos ordinarios y la NIC 38 Activos intangibles). </w:t>
      </w:r>
    </w:p>
    <w:p w:rsidR="00423933" w:rsidRPr="00204CEA" w:rsidRDefault="00423933" w:rsidP="00801D62">
      <w:pPr>
        <w:pStyle w:val="NormalWeb"/>
        <w:numPr>
          <w:ilvl w:val="0"/>
          <w:numId w:val="26"/>
        </w:numPr>
        <w:spacing w:line="360" w:lineRule="auto"/>
        <w:jc w:val="both"/>
      </w:pPr>
      <w:r w:rsidRPr="00204CEA">
        <w:t xml:space="preserve">Los contratos de garantía financiera, a menos que el emisor haya manifestado previamente y de forma explícita que considera tales contratos como de seguro y que ha utilizado la contabilidad aplicable a los contratos de seguro, en cuyo caso podrá optar entre aplicar la NIC 32, la NIC 39 y la NIIF 7 o esta Norma a dichos contratos de garantía financiera. El emisor puede decidirlo contrato por contrato, pero una vez adoptada la decisión será irrevocable. </w:t>
      </w:r>
    </w:p>
    <w:p w:rsidR="00A97BE0" w:rsidRPr="00204CEA" w:rsidRDefault="00423933" w:rsidP="00801D62">
      <w:pPr>
        <w:pStyle w:val="NormalWeb"/>
        <w:numPr>
          <w:ilvl w:val="0"/>
          <w:numId w:val="26"/>
        </w:numPr>
        <w:spacing w:line="360" w:lineRule="auto"/>
        <w:jc w:val="both"/>
      </w:pPr>
      <w:r w:rsidRPr="00204CEA">
        <w:t>Las contrapartidas contingentes, a pagar o cobrar en una combinación de negocios (véase la NIIF 3 C</w:t>
      </w:r>
      <w:r w:rsidR="00A97BE0" w:rsidRPr="00204CEA">
        <w:t xml:space="preserve">ombinaciones de negocios). </w:t>
      </w:r>
    </w:p>
    <w:p w:rsidR="00A97BE0" w:rsidRPr="00204CEA" w:rsidRDefault="00423933" w:rsidP="00801D62">
      <w:pPr>
        <w:pStyle w:val="NormalWeb"/>
        <w:numPr>
          <w:ilvl w:val="0"/>
          <w:numId w:val="26"/>
        </w:numPr>
        <w:spacing w:line="360" w:lineRule="auto"/>
        <w:jc w:val="both"/>
      </w:pPr>
      <w:r w:rsidRPr="00204CEA">
        <w:t>Los contratos de seguro directo que posea la entidad (esto es, los contratos de seguro directo donde la entidad sea la tomadora del seguro). No obstante, el cedente aplicará esta NIIF a los contratos de reaseguro que ceda.</w:t>
      </w:r>
    </w:p>
    <w:p w:rsidR="00A97BE0" w:rsidRPr="00204CEA" w:rsidRDefault="00423933" w:rsidP="00801D62">
      <w:pPr>
        <w:pStyle w:val="NormalWeb"/>
        <w:numPr>
          <w:ilvl w:val="0"/>
          <w:numId w:val="18"/>
        </w:numPr>
        <w:spacing w:line="360" w:lineRule="auto"/>
        <w:jc w:val="both"/>
      </w:pPr>
      <w:r w:rsidRPr="00204CEA">
        <w:t>Para facilitar las referencias, esta NIIF denomina aseguradora a toda entidad que emita un contrato de seguro, con independencia de que dicha entidad se considere aseguradora a efectos legales o de supervisión.</w:t>
      </w:r>
    </w:p>
    <w:p w:rsidR="00423933" w:rsidRPr="00204CEA" w:rsidRDefault="00423933" w:rsidP="00801D62">
      <w:pPr>
        <w:pStyle w:val="NormalWeb"/>
        <w:numPr>
          <w:ilvl w:val="0"/>
          <w:numId w:val="18"/>
        </w:numPr>
        <w:spacing w:line="360" w:lineRule="auto"/>
        <w:jc w:val="both"/>
      </w:pPr>
      <w:r w:rsidRPr="00204CEA">
        <w:t>Un contrato de reaseguro es un tipo de contrato de seguro. De acuerdo con ello, todas las referencias que se hacen a los contratos de seguro, en esta NIIF, son aplicables también a los contratos de reaseguro.</w:t>
      </w:r>
    </w:p>
    <w:p w:rsidR="00423933" w:rsidRPr="00204CEA" w:rsidRDefault="00A97BE0" w:rsidP="00801D62">
      <w:pPr>
        <w:spacing w:line="360" w:lineRule="auto"/>
        <w:jc w:val="both"/>
        <w:rPr>
          <w:rFonts w:ascii="Times New Roman" w:hAnsi="Times New Roman" w:cs="Times New Roman"/>
          <w:b/>
          <w:sz w:val="24"/>
          <w:szCs w:val="24"/>
        </w:rPr>
      </w:pPr>
      <w:r w:rsidRPr="00204CEA">
        <w:rPr>
          <w:rFonts w:ascii="Times New Roman" w:hAnsi="Times New Roman" w:cs="Times New Roman"/>
          <w:b/>
          <w:sz w:val="24"/>
          <w:szCs w:val="24"/>
        </w:rPr>
        <w:t>INFORMACIÓN A REVELAR</w:t>
      </w:r>
    </w:p>
    <w:p w:rsidR="00A97BE0" w:rsidRPr="00204CEA" w:rsidRDefault="00A97BE0" w:rsidP="00801D62">
      <w:pPr>
        <w:pStyle w:val="Prrafodelista"/>
        <w:numPr>
          <w:ilvl w:val="0"/>
          <w:numId w:val="27"/>
        </w:numPr>
        <w:spacing w:line="360" w:lineRule="auto"/>
        <w:jc w:val="both"/>
        <w:rPr>
          <w:rFonts w:ascii="Times New Roman" w:hAnsi="Times New Roman" w:cs="Times New Roman"/>
          <w:b/>
          <w:sz w:val="24"/>
          <w:szCs w:val="24"/>
        </w:rPr>
      </w:pPr>
      <w:r w:rsidRPr="00204CEA">
        <w:rPr>
          <w:rFonts w:ascii="Times New Roman" w:hAnsi="Times New Roman" w:cs="Times New Roman"/>
          <w:sz w:val="24"/>
          <w:szCs w:val="24"/>
        </w:rPr>
        <w:t xml:space="preserve">Explicación de los importes reconocidos </w:t>
      </w:r>
    </w:p>
    <w:p w:rsidR="00A97BE0" w:rsidRPr="00204CEA" w:rsidRDefault="00A97BE0" w:rsidP="00801D62">
      <w:pPr>
        <w:pStyle w:val="Prrafodelista"/>
        <w:numPr>
          <w:ilvl w:val="0"/>
          <w:numId w:val="27"/>
        </w:numPr>
        <w:spacing w:line="360" w:lineRule="auto"/>
        <w:jc w:val="both"/>
        <w:rPr>
          <w:rFonts w:ascii="Times New Roman" w:hAnsi="Times New Roman" w:cs="Times New Roman"/>
          <w:b/>
          <w:sz w:val="24"/>
          <w:szCs w:val="24"/>
        </w:rPr>
      </w:pPr>
      <w:r w:rsidRPr="00204CEA">
        <w:rPr>
          <w:rFonts w:ascii="Times New Roman" w:hAnsi="Times New Roman" w:cs="Times New Roman"/>
          <w:sz w:val="24"/>
          <w:szCs w:val="24"/>
        </w:rPr>
        <w:lastRenderedPageBreak/>
        <w:t>Naturaleza y alcance de los riesgos que surgen de los contratos de seguro</w:t>
      </w:r>
    </w:p>
    <w:p w:rsidR="00423933" w:rsidRPr="00204CEA" w:rsidRDefault="00A97BE0" w:rsidP="00801D62">
      <w:pPr>
        <w:spacing w:line="360" w:lineRule="auto"/>
        <w:jc w:val="both"/>
        <w:rPr>
          <w:rFonts w:ascii="Times New Roman" w:hAnsi="Times New Roman" w:cs="Times New Roman"/>
          <w:b/>
          <w:sz w:val="24"/>
          <w:szCs w:val="24"/>
        </w:rPr>
      </w:pPr>
      <w:r w:rsidRPr="00204CEA">
        <w:rPr>
          <w:rFonts w:ascii="Times New Roman" w:hAnsi="Times New Roman" w:cs="Times New Roman"/>
          <w:b/>
          <w:sz w:val="24"/>
          <w:szCs w:val="24"/>
        </w:rPr>
        <w:t>FECHA DE VIGENCIA</w:t>
      </w:r>
    </w:p>
    <w:p w:rsidR="00BA1D56" w:rsidRPr="00204CEA" w:rsidRDefault="00A97BE0" w:rsidP="00801D62">
      <w:pPr>
        <w:spacing w:line="360" w:lineRule="auto"/>
        <w:jc w:val="both"/>
        <w:rPr>
          <w:rFonts w:ascii="Times New Roman" w:hAnsi="Times New Roman" w:cs="Times New Roman"/>
          <w:sz w:val="24"/>
          <w:szCs w:val="24"/>
        </w:rPr>
      </w:pPr>
      <w:r w:rsidRPr="00204CEA">
        <w:rPr>
          <w:rFonts w:ascii="Times New Roman" w:hAnsi="Times New Roman" w:cs="Times New Roman"/>
          <w:sz w:val="24"/>
          <w:szCs w:val="24"/>
        </w:rPr>
        <w:t>La entidad aplicara esta NIIF en los ejercicios anuales que comiencen a partir del 1 de enero de 2005</w:t>
      </w:r>
    </w:p>
    <w:p w:rsidR="00A97BE0" w:rsidRPr="00204CEA" w:rsidRDefault="00A97BE0" w:rsidP="00801D62">
      <w:pPr>
        <w:spacing w:line="360" w:lineRule="auto"/>
        <w:jc w:val="both"/>
        <w:rPr>
          <w:rFonts w:ascii="Times New Roman" w:hAnsi="Times New Roman" w:cs="Times New Roman"/>
          <w:b/>
          <w:color w:val="0070C0"/>
          <w:sz w:val="28"/>
          <w:szCs w:val="24"/>
        </w:rPr>
      </w:pPr>
      <w:r w:rsidRPr="00204CEA">
        <w:rPr>
          <w:rFonts w:ascii="Times New Roman" w:hAnsi="Times New Roman" w:cs="Times New Roman"/>
          <w:b/>
          <w:color w:val="0070C0"/>
          <w:sz w:val="28"/>
          <w:szCs w:val="24"/>
        </w:rPr>
        <w:t>NIIF N°5. ACTIVOS NO CORRIENTES MANTENIDOS PARA LA VENTA Y ACTIVIDADES INTERRUMPIDAS.</w:t>
      </w:r>
    </w:p>
    <w:p w:rsidR="00BA1D56" w:rsidRPr="00204CEA" w:rsidRDefault="00BA1D56" w:rsidP="00801D62">
      <w:pPr>
        <w:pStyle w:val="Ttulo2"/>
        <w:spacing w:line="360" w:lineRule="auto"/>
        <w:jc w:val="both"/>
        <w:rPr>
          <w:sz w:val="24"/>
          <w:szCs w:val="24"/>
        </w:rPr>
      </w:pPr>
      <w:r w:rsidRPr="00204CEA">
        <w:rPr>
          <w:rStyle w:val="cufon-alt"/>
          <w:sz w:val="24"/>
          <w:szCs w:val="24"/>
        </w:rPr>
        <w:t>OBJETIVO</w:t>
      </w:r>
    </w:p>
    <w:p w:rsidR="00BA1D56" w:rsidRPr="00204CEA" w:rsidRDefault="00BA1D56" w:rsidP="00801D62">
      <w:pPr>
        <w:pStyle w:val="NormalWeb"/>
        <w:spacing w:line="360" w:lineRule="auto"/>
        <w:jc w:val="both"/>
      </w:pPr>
      <w:r w:rsidRPr="00204CEA">
        <w:t>El objetivo de esta NIIF es especificar el tratamiento contable de los activos mantenidos para la venta, así como la presentación e información a revelar sobre las actividades interrumpidas. En concreto, esta NIIF requiere:</w:t>
      </w:r>
    </w:p>
    <w:p w:rsidR="00BA1D56" w:rsidRPr="00204CEA" w:rsidRDefault="00BA1D56" w:rsidP="00801D62">
      <w:pPr>
        <w:pStyle w:val="NormalWeb"/>
        <w:numPr>
          <w:ilvl w:val="0"/>
          <w:numId w:val="28"/>
        </w:numPr>
        <w:spacing w:line="360" w:lineRule="auto"/>
        <w:jc w:val="both"/>
      </w:pPr>
      <w:r w:rsidRPr="00204CEA">
        <w:t>los activos que cumplan los requisitos para ser clasificados como mantenidos para la venta, sean valorados al menor valor entre su importe en libros y su valor razonable menos los costes de venta, así como que cese la amortización de dichos activos; y</w:t>
      </w:r>
    </w:p>
    <w:p w:rsidR="00BA1D56" w:rsidRPr="00204CEA" w:rsidRDefault="00BA1D56" w:rsidP="00801D62">
      <w:pPr>
        <w:pStyle w:val="NormalWeb"/>
        <w:numPr>
          <w:ilvl w:val="0"/>
          <w:numId w:val="28"/>
        </w:numPr>
        <w:spacing w:line="360" w:lineRule="auto"/>
        <w:jc w:val="both"/>
      </w:pPr>
      <w:r w:rsidRPr="00204CEA">
        <w:t>los activos que cumplan los requisitos para ser clasificados como mantenidos para la venta, se presenten de forma separada en el balance, y que los resultados de las actividades interrumpidas se presenten por separado en la cuenta de resultados.</w:t>
      </w:r>
    </w:p>
    <w:p w:rsidR="00BA1D56" w:rsidRPr="00204CEA" w:rsidRDefault="00BA1D56" w:rsidP="00801D62">
      <w:pPr>
        <w:pStyle w:val="Ttulo2"/>
        <w:spacing w:line="360" w:lineRule="auto"/>
        <w:jc w:val="both"/>
        <w:rPr>
          <w:sz w:val="24"/>
          <w:szCs w:val="24"/>
        </w:rPr>
      </w:pPr>
      <w:r w:rsidRPr="00204CEA">
        <w:rPr>
          <w:rStyle w:val="cufon-alt"/>
          <w:sz w:val="24"/>
          <w:szCs w:val="24"/>
        </w:rPr>
        <w:t>ALCANCE</w:t>
      </w:r>
    </w:p>
    <w:p w:rsidR="00BA1D56" w:rsidRPr="00204CEA" w:rsidRDefault="00BA1D56" w:rsidP="00801D62">
      <w:pPr>
        <w:pStyle w:val="NormalWeb"/>
        <w:spacing w:line="360" w:lineRule="auto"/>
        <w:jc w:val="both"/>
      </w:pPr>
      <w:r w:rsidRPr="00204CEA">
        <w:t xml:space="preserve">Los requisitos de clasificación y presentación de esta NIIF se aplicarán a todos los activos no corrientes </w:t>
      </w:r>
      <w:r w:rsidR="00204CEA">
        <w:t>(</w:t>
      </w:r>
      <w:r w:rsidRPr="00204CEA">
        <w:t>2) reconocidos, y a todos los grupos enajenables de elementos de la entidad. Los requisitos de valoración de esta NIIF se aplicarán a todos los activos no corrientes reconocidos y a los grupos enajenables de elementos (establecidos en el párrafo 4), excepto a aquellos activos enumerados en el párrafo 5, que continuarán valorándose de acuerdo con la Norma que se indica en el mismo.</w:t>
      </w:r>
    </w:p>
    <w:p w:rsidR="00BA1D56" w:rsidRPr="00204CEA" w:rsidRDefault="00BA1D56" w:rsidP="00801D62">
      <w:pPr>
        <w:pStyle w:val="NormalWeb"/>
        <w:numPr>
          <w:ilvl w:val="0"/>
          <w:numId w:val="29"/>
        </w:numPr>
        <w:spacing w:line="360" w:lineRule="auto"/>
        <w:jc w:val="both"/>
      </w:pPr>
      <w:r w:rsidRPr="00204CEA">
        <w:t xml:space="preserve">Los activos clasificados como no corrientes de acuerdo con la NIC 1 Presentación de estados financieros no se reclasificarán como activos corrientes hasta que </w:t>
      </w:r>
      <w:r w:rsidRPr="00204CEA">
        <w:lastRenderedPageBreak/>
        <w:t>cumplan los requisitos para ser clasificados como mantenidos para la venta de acuerdo con esta NIIF. Los activos de una clase que la entidad normalmente considere como no corrientes y se hayan adquirido exclusivamente con la finalidad de revenderlos, no se clasificarán como corrientes a menos que cumplan los criterios para ser clasificados como mantenidos para la venta de acuerdo con esta NIIF.</w:t>
      </w:r>
    </w:p>
    <w:p w:rsidR="00BA1D56" w:rsidRPr="00204CEA" w:rsidRDefault="00BA1D56" w:rsidP="00801D62">
      <w:pPr>
        <w:pStyle w:val="NormalWeb"/>
        <w:numPr>
          <w:ilvl w:val="0"/>
          <w:numId w:val="29"/>
        </w:numPr>
        <w:spacing w:line="360" w:lineRule="auto"/>
        <w:jc w:val="both"/>
      </w:pPr>
      <w:r w:rsidRPr="00204CEA">
        <w:t xml:space="preserve">En ocasiones, una entidad enajena o dispone por otra vía, de un grupo de activos, posiblemente con algún pasivo directamente asociado, de forma conjunta, en una sola transacción. Ese grupo enajenable de elementos podría ser un grupo de unidades generadoras de efectivo, una unidad generadora de efectivo o parte de ella </w:t>
      </w:r>
      <w:r w:rsidR="00204CEA">
        <w:t>(</w:t>
      </w:r>
      <w:r w:rsidRPr="00204CEA">
        <w:t>4) El grupo podría comprender cualquier activo o pasivo de la entidad, incluyendo activos corrientes, pasivos corrientes y activos excluidos, según el párrafo 5, de los requisitos de valoración de esta NIIF. Si un activo no corriente, dentro del alcance de los requisitos de valoración de esta NIIF, formase parte de un grupo enajenable de elementos, los requerimientos de valoración de esta NIIF se aplicarán al grupo como un todo, de tal forma que el grupo se medirá por el menor valor entre su importe en libros y su valor razonable menos los costes de venta. Los requisitos de valoración de activos y pasivos individuales, dentro del grupo enajenable de elementos, se establecen en los párrafos 18,19 y 23.</w:t>
      </w:r>
    </w:p>
    <w:p w:rsidR="00BA1D56" w:rsidRPr="00204CEA" w:rsidRDefault="00BA1D56" w:rsidP="00801D62">
      <w:pPr>
        <w:pStyle w:val="NormalWeb"/>
        <w:numPr>
          <w:ilvl w:val="0"/>
          <w:numId w:val="29"/>
        </w:numPr>
        <w:spacing w:line="360" w:lineRule="auto"/>
        <w:jc w:val="both"/>
      </w:pPr>
      <w:r w:rsidRPr="00204CEA">
        <w:t>Los criter</w:t>
      </w:r>
      <w:r w:rsidR="00204CEA">
        <w:t xml:space="preserve">ios de valoración de esta </w:t>
      </w:r>
      <w:proofErr w:type="gramStart"/>
      <w:r w:rsidR="00204CEA">
        <w:t>NIIF(</w:t>
      </w:r>
      <w:proofErr w:type="gramEnd"/>
      <w:r w:rsidRPr="00204CEA">
        <w:t>5) no se aplicarán a los siguientes activos, que quedan cubiertos por las Normas e Interpretaciones indicadas en cada caso, ya sean activos individuales o formen parte de un grupo enajenable de elementos.</w:t>
      </w:r>
    </w:p>
    <w:p w:rsidR="00BA1D56" w:rsidRPr="00204CEA" w:rsidRDefault="00BA1D56" w:rsidP="00801D62">
      <w:pPr>
        <w:pStyle w:val="NormalWeb"/>
        <w:numPr>
          <w:ilvl w:val="0"/>
          <w:numId w:val="30"/>
        </w:numPr>
        <w:spacing w:line="360" w:lineRule="auto"/>
        <w:jc w:val="both"/>
      </w:pPr>
      <w:r w:rsidRPr="00204CEA">
        <w:t xml:space="preserve">Activos por impuestos diferidos (NIC 12 Impuesto sobre las ganancias). </w:t>
      </w:r>
    </w:p>
    <w:p w:rsidR="00BA1D56" w:rsidRPr="00204CEA" w:rsidRDefault="00BA1D56" w:rsidP="00801D62">
      <w:pPr>
        <w:pStyle w:val="NormalWeb"/>
        <w:numPr>
          <w:ilvl w:val="0"/>
          <w:numId w:val="30"/>
        </w:numPr>
        <w:spacing w:line="360" w:lineRule="auto"/>
        <w:jc w:val="both"/>
      </w:pPr>
      <w:r w:rsidRPr="00204CEA">
        <w:t xml:space="preserve">Activos procedentes de retribuciones a los empleados (NIC 19 Retribuciones a los empleados). </w:t>
      </w:r>
    </w:p>
    <w:p w:rsidR="00BA1D56" w:rsidRPr="00204CEA" w:rsidRDefault="00BA1D56" w:rsidP="00801D62">
      <w:pPr>
        <w:pStyle w:val="NormalWeb"/>
        <w:numPr>
          <w:ilvl w:val="0"/>
          <w:numId w:val="30"/>
        </w:numPr>
        <w:spacing w:line="360" w:lineRule="auto"/>
        <w:jc w:val="both"/>
      </w:pPr>
      <w:r w:rsidRPr="00204CEA">
        <w:t xml:space="preserve">Activos financieros que estén dentro del alcance de la NIC 39 Instrumentos financieros: Reconocimiento y valoración. </w:t>
      </w:r>
    </w:p>
    <w:p w:rsidR="00BA1D56" w:rsidRPr="00204CEA" w:rsidRDefault="00BA1D56" w:rsidP="00801D62">
      <w:pPr>
        <w:pStyle w:val="NormalWeb"/>
        <w:numPr>
          <w:ilvl w:val="0"/>
          <w:numId w:val="30"/>
        </w:numPr>
        <w:spacing w:line="360" w:lineRule="auto"/>
        <w:jc w:val="both"/>
      </w:pPr>
      <w:r w:rsidRPr="00204CEA">
        <w:t xml:space="preserve">Activos no corrientes contabilizados de acuerdo con el modelo de valor razonable de la NIC 40 Inversiones inmobiliarias. </w:t>
      </w:r>
    </w:p>
    <w:p w:rsidR="00BA1D56" w:rsidRPr="00204CEA" w:rsidRDefault="00BA1D56" w:rsidP="00801D62">
      <w:pPr>
        <w:pStyle w:val="NormalWeb"/>
        <w:numPr>
          <w:ilvl w:val="0"/>
          <w:numId w:val="30"/>
        </w:numPr>
        <w:spacing w:line="360" w:lineRule="auto"/>
        <w:jc w:val="both"/>
      </w:pPr>
      <w:r w:rsidRPr="00204CEA">
        <w:t xml:space="preserve">Activos no corrientes valorados por su valor razonable menos los costes de venta, de acuerdo con la NIC 41 Agricultura. </w:t>
      </w:r>
    </w:p>
    <w:p w:rsidR="00BA1D56" w:rsidRPr="00204CEA" w:rsidRDefault="00BA1D56" w:rsidP="00801D62">
      <w:pPr>
        <w:pStyle w:val="NormalWeb"/>
        <w:numPr>
          <w:ilvl w:val="0"/>
          <w:numId w:val="30"/>
        </w:numPr>
        <w:spacing w:line="360" w:lineRule="auto"/>
        <w:jc w:val="both"/>
      </w:pPr>
      <w:r w:rsidRPr="00204CEA">
        <w:lastRenderedPageBreak/>
        <w:t>Derechos contractuales procedentes de contratos de seguro, definidos en la NIIF 4 Contratos de seguro.</w:t>
      </w:r>
    </w:p>
    <w:p w:rsidR="00BA1D56" w:rsidRPr="00204CEA" w:rsidRDefault="00BA1D56" w:rsidP="00801D62">
      <w:pPr>
        <w:pStyle w:val="NormalWeb"/>
        <w:numPr>
          <w:ilvl w:val="0"/>
          <w:numId w:val="31"/>
        </w:numPr>
        <w:spacing w:line="360" w:lineRule="auto"/>
        <w:jc w:val="both"/>
      </w:pPr>
      <w:r w:rsidRPr="00204CEA">
        <w:t>Los requerimientos de clasificación, presentación y valoración de esta NIIF aplicables a un activo no corriente (o grupo enajenable de elementos), que se clasifique como mantenido para la venta, se aplicarán también a un activo no corriente (o grupo enajenable de elementos) que se clasifique como mantenido para distribuir a los propietarios, cuando actúan como tales (mantenido para distribuir a los propietarios).</w:t>
      </w:r>
    </w:p>
    <w:p w:rsidR="004573C6" w:rsidRPr="00204CEA" w:rsidRDefault="004573C6" w:rsidP="00801D62">
      <w:pPr>
        <w:spacing w:line="360" w:lineRule="auto"/>
        <w:jc w:val="both"/>
        <w:rPr>
          <w:rFonts w:ascii="Times New Roman" w:hAnsi="Times New Roman" w:cs="Times New Roman"/>
          <w:b/>
          <w:sz w:val="24"/>
          <w:szCs w:val="24"/>
        </w:rPr>
      </w:pPr>
      <w:r w:rsidRPr="00204CEA">
        <w:rPr>
          <w:rFonts w:ascii="Times New Roman" w:hAnsi="Times New Roman" w:cs="Times New Roman"/>
          <w:b/>
          <w:sz w:val="24"/>
          <w:szCs w:val="24"/>
        </w:rPr>
        <w:t>PRESENTACIÓN E INFORMACIÓN A RELEVAR</w:t>
      </w:r>
    </w:p>
    <w:p w:rsidR="004573C6" w:rsidRPr="00204CEA" w:rsidRDefault="004573C6" w:rsidP="00801D62">
      <w:pPr>
        <w:spacing w:line="360" w:lineRule="auto"/>
        <w:jc w:val="both"/>
        <w:rPr>
          <w:rFonts w:ascii="Times New Roman" w:hAnsi="Times New Roman" w:cs="Times New Roman"/>
          <w:sz w:val="24"/>
          <w:szCs w:val="24"/>
        </w:rPr>
      </w:pPr>
      <w:r w:rsidRPr="00204CEA">
        <w:rPr>
          <w:rFonts w:ascii="Times New Roman" w:hAnsi="Times New Roman" w:cs="Times New Roman"/>
          <w:sz w:val="24"/>
          <w:szCs w:val="24"/>
        </w:rPr>
        <w:t>Una entidad presentará y revelará información que permita a los usuarios de los estados financieros evaluar los efectos financieros de las actividades interrumpidas y las enajenación o disposición por otra vía de los activos no corrientes (o grupos enajenables de elementos). Presentación de actividades interrumpidas.</w:t>
      </w:r>
    </w:p>
    <w:p w:rsidR="004573C6" w:rsidRPr="00204CEA" w:rsidRDefault="004573C6" w:rsidP="00801D62">
      <w:pPr>
        <w:pStyle w:val="Prrafodelista"/>
        <w:numPr>
          <w:ilvl w:val="0"/>
          <w:numId w:val="32"/>
        </w:numPr>
        <w:spacing w:line="360" w:lineRule="auto"/>
        <w:jc w:val="both"/>
        <w:rPr>
          <w:rFonts w:ascii="Times New Roman" w:hAnsi="Times New Roman" w:cs="Times New Roman"/>
          <w:sz w:val="24"/>
          <w:szCs w:val="24"/>
        </w:rPr>
      </w:pPr>
      <w:r w:rsidRPr="00204CEA">
        <w:rPr>
          <w:rFonts w:ascii="Times New Roman" w:hAnsi="Times New Roman" w:cs="Times New Roman"/>
          <w:sz w:val="24"/>
          <w:szCs w:val="24"/>
        </w:rPr>
        <w:t>Resultados relativos a las actividades que continúan</w:t>
      </w:r>
    </w:p>
    <w:p w:rsidR="004573C6" w:rsidRPr="00204CEA" w:rsidRDefault="004573C6" w:rsidP="00801D62">
      <w:pPr>
        <w:pStyle w:val="Prrafodelista"/>
        <w:numPr>
          <w:ilvl w:val="0"/>
          <w:numId w:val="32"/>
        </w:numPr>
        <w:spacing w:line="360" w:lineRule="auto"/>
        <w:jc w:val="both"/>
        <w:rPr>
          <w:rFonts w:ascii="Times New Roman" w:hAnsi="Times New Roman" w:cs="Times New Roman"/>
          <w:sz w:val="24"/>
          <w:szCs w:val="24"/>
        </w:rPr>
      </w:pPr>
      <w:r w:rsidRPr="00204CEA">
        <w:rPr>
          <w:rFonts w:ascii="Times New Roman" w:hAnsi="Times New Roman" w:cs="Times New Roman"/>
          <w:sz w:val="24"/>
          <w:szCs w:val="24"/>
        </w:rPr>
        <w:t>Informaciones adicionales a revelar</w:t>
      </w:r>
    </w:p>
    <w:p w:rsidR="004573C6" w:rsidRPr="00204CEA" w:rsidRDefault="004573C6" w:rsidP="00801D62">
      <w:pPr>
        <w:pStyle w:val="NormalWeb"/>
        <w:spacing w:line="360" w:lineRule="auto"/>
        <w:jc w:val="both"/>
        <w:rPr>
          <w:b/>
        </w:rPr>
      </w:pPr>
      <w:r w:rsidRPr="00204CEA">
        <w:rPr>
          <w:b/>
        </w:rPr>
        <w:t>FECHA DE VIGENCIA</w:t>
      </w:r>
    </w:p>
    <w:p w:rsidR="004573C6" w:rsidRPr="00204CEA" w:rsidRDefault="004573C6" w:rsidP="00801D62">
      <w:pPr>
        <w:spacing w:line="360" w:lineRule="auto"/>
        <w:jc w:val="both"/>
        <w:rPr>
          <w:rFonts w:ascii="Times New Roman" w:hAnsi="Times New Roman" w:cs="Times New Roman"/>
          <w:sz w:val="24"/>
          <w:szCs w:val="24"/>
        </w:rPr>
      </w:pPr>
      <w:r w:rsidRPr="00204CEA">
        <w:rPr>
          <w:rFonts w:ascii="Times New Roman" w:hAnsi="Times New Roman" w:cs="Times New Roman"/>
          <w:sz w:val="24"/>
          <w:szCs w:val="24"/>
        </w:rPr>
        <w:t>La entidad aplicará esta NIIF en los ejercicios anuales que comiencen a partir del 1 de enero de 2005</w:t>
      </w:r>
    </w:p>
    <w:p w:rsidR="00FE66A9" w:rsidRPr="00204CEA" w:rsidRDefault="00FE66A9" w:rsidP="00801D62">
      <w:pPr>
        <w:spacing w:line="360" w:lineRule="auto"/>
        <w:jc w:val="both"/>
        <w:rPr>
          <w:rFonts w:ascii="Times New Roman" w:hAnsi="Times New Roman" w:cs="Times New Roman"/>
          <w:b/>
          <w:color w:val="0070C0"/>
          <w:sz w:val="28"/>
          <w:szCs w:val="24"/>
        </w:rPr>
      </w:pPr>
      <w:r w:rsidRPr="00204CEA">
        <w:rPr>
          <w:rFonts w:ascii="Times New Roman" w:hAnsi="Times New Roman" w:cs="Times New Roman"/>
          <w:b/>
          <w:color w:val="0070C0"/>
          <w:sz w:val="28"/>
          <w:szCs w:val="24"/>
        </w:rPr>
        <w:t xml:space="preserve">NIIF N°6. </w:t>
      </w:r>
      <w:r w:rsidR="004573C6" w:rsidRPr="00204CEA">
        <w:rPr>
          <w:rFonts w:ascii="Times New Roman" w:hAnsi="Times New Roman" w:cs="Times New Roman"/>
          <w:b/>
          <w:color w:val="0070C0"/>
          <w:sz w:val="28"/>
          <w:szCs w:val="24"/>
        </w:rPr>
        <w:t>EXPLORACIÓN Y EVALUACIÓN DE RECURSOS MINERALES</w:t>
      </w:r>
      <w:r w:rsidRPr="00204CEA">
        <w:rPr>
          <w:rFonts w:ascii="Times New Roman" w:hAnsi="Times New Roman" w:cs="Times New Roman"/>
          <w:b/>
          <w:color w:val="0070C0"/>
          <w:sz w:val="28"/>
          <w:szCs w:val="24"/>
        </w:rPr>
        <w:t>.</w:t>
      </w:r>
    </w:p>
    <w:p w:rsidR="004573C6" w:rsidRPr="00204CEA" w:rsidRDefault="00555544" w:rsidP="00801D62">
      <w:pPr>
        <w:pStyle w:val="Ttulo2"/>
        <w:spacing w:line="360" w:lineRule="auto"/>
        <w:jc w:val="both"/>
        <w:rPr>
          <w:sz w:val="24"/>
          <w:szCs w:val="24"/>
        </w:rPr>
      </w:pPr>
      <w:r w:rsidRPr="00204CEA">
        <w:rPr>
          <w:rStyle w:val="cufon-alt"/>
          <w:sz w:val="24"/>
          <w:szCs w:val="24"/>
        </w:rPr>
        <w:t>OBJETIVO</w:t>
      </w:r>
    </w:p>
    <w:p w:rsidR="004573C6" w:rsidRPr="00204CEA" w:rsidRDefault="004573C6" w:rsidP="00801D62">
      <w:pPr>
        <w:pStyle w:val="NormalWeb"/>
        <w:spacing w:line="360" w:lineRule="auto"/>
        <w:jc w:val="both"/>
      </w:pPr>
      <w:r w:rsidRPr="00204CEA">
        <w:t>El objetivo de esta NIIF es especificar la información financiera relativa a la exploración y la evaluación de recursos minerales.</w:t>
      </w:r>
    </w:p>
    <w:p w:rsidR="004573C6" w:rsidRPr="00204CEA" w:rsidRDefault="004573C6" w:rsidP="00801D62">
      <w:pPr>
        <w:pStyle w:val="NormalWeb"/>
        <w:spacing w:line="360" w:lineRule="auto"/>
        <w:jc w:val="both"/>
      </w:pPr>
      <w:r w:rsidRPr="00204CEA">
        <w:t>En concreto, esta NIIF requiere:</w:t>
      </w:r>
    </w:p>
    <w:p w:rsidR="00555544" w:rsidRPr="00204CEA" w:rsidRDefault="004573C6" w:rsidP="00801D62">
      <w:pPr>
        <w:pStyle w:val="NormalWeb"/>
        <w:numPr>
          <w:ilvl w:val="0"/>
          <w:numId w:val="33"/>
        </w:numPr>
        <w:spacing w:line="360" w:lineRule="auto"/>
        <w:jc w:val="both"/>
      </w:pPr>
      <w:r w:rsidRPr="00204CEA">
        <w:lastRenderedPageBreak/>
        <w:t>determinadas mejoras en las prácticas contables existentes para los desembolsos relacionados con la</w:t>
      </w:r>
      <w:r w:rsidR="00555544" w:rsidRPr="00204CEA">
        <w:t xml:space="preserve"> exploración y evaluación; </w:t>
      </w:r>
    </w:p>
    <w:p w:rsidR="00555544" w:rsidRPr="00204CEA" w:rsidRDefault="004573C6" w:rsidP="00801D62">
      <w:pPr>
        <w:pStyle w:val="NormalWeb"/>
        <w:numPr>
          <w:ilvl w:val="0"/>
          <w:numId w:val="33"/>
        </w:numPr>
        <w:spacing w:line="360" w:lineRule="auto"/>
        <w:jc w:val="both"/>
      </w:pPr>
      <w:r w:rsidRPr="00204CEA">
        <w:t>que las entidades que reconozcan activos para exploración y evaluación realicen una comprobación del deterioro del valor de los mismos de acuerdo con esta NIIF, y valoren el posible deterioro de acuerdo con la NIC 36 Deterioro</w:t>
      </w:r>
      <w:r w:rsidR="00555544" w:rsidRPr="00204CEA">
        <w:t xml:space="preserve"> del valor de los activos; </w:t>
      </w:r>
    </w:p>
    <w:p w:rsidR="004573C6" w:rsidRPr="00204CEA" w:rsidRDefault="004573C6" w:rsidP="00801D62">
      <w:pPr>
        <w:pStyle w:val="NormalWeb"/>
        <w:numPr>
          <w:ilvl w:val="0"/>
          <w:numId w:val="33"/>
        </w:numPr>
        <w:spacing w:line="360" w:lineRule="auto"/>
        <w:jc w:val="both"/>
      </w:pPr>
      <w:r w:rsidRPr="00204CEA">
        <w:t>revelar información que identifique y explique los importes que surjan, en los estados financieros de la entidad, derivados de la exploración y evaluación de recursos minerales, a la vez que ayude a los usuarios de esos estados financieros a comprender el importe, calendario y certidumbre asociados a los flujos de efectivo futuros de los activos para exploración y evaluación reconocidos.</w:t>
      </w:r>
    </w:p>
    <w:p w:rsidR="004573C6" w:rsidRPr="00204CEA" w:rsidRDefault="00555544" w:rsidP="00801D62">
      <w:pPr>
        <w:pStyle w:val="Ttulo2"/>
        <w:spacing w:line="360" w:lineRule="auto"/>
        <w:jc w:val="both"/>
        <w:rPr>
          <w:sz w:val="24"/>
          <w:szCs w:val="24"/>
        </w:rPr>
      </w:pPr>
      <w:r w:rsidRPr="00204CEA">
        <w:rPr>
          <w:rStyle w:val="cufon-alt"/>
          <w:sz w:val="24"/>
          <w:szCs w:val="24"/>
        </w:rPr>
        <w:t>ALCANCE</w:t>
      </w:r>
    </w:p>
    <w:p w:rsidR="004573C6" w:rsidRPr="00204CEA" w:rsidRDefault="004573C6" w:rsidP="00801D62">
      <w:pPr>
        <w:pStyle w:val="NormalWeb"/>
        <w:spacing w:line="360" w:lineRule="auto"/>
        <w:jc w:val="both"/>
      </w:pPr>
      <w:r w:rsidRPr="00204CEA">
        <w:t>Una entidad aplicará esta NIIF a los desembolsos relacionados con la exploración y evaluación en los que incurra.</w:t>
      </w:r>
    </w:p>
    <w:p w:rsidR="004573C6" w:rsidRPr="00204CEA" w:rsidRDefault="004573C6" w:rsidP="00801D62">
      <w:pPr>
        <w:pStyle w:val="NormalWeb"/>
        <w:spacing w:line="360" w:lineRule="auto"/>
        <w:jc w:val="both"/>
      </w:pPr>
      <w:r w:rsidRPr="00204CEA">
        <w:t>La NIIF no aborda otros aspectos relativos a la contabilización de las entidades dedicadas a la exploración y evaluación de recursos minerales.</w:t>
      </w:r>
    </w:p>
    <w:p w:rsidR="00555544" w:rsidRPr="00204CEA" w:rsidRDefault="004573C6" w:rsidP="00801D62">
      <w:pPr>
        <w:pStyle w:val="NormalWeb"/>
        <w:spacing w:line="360" w:lineRule="auto"/>
        <w:jc w:val="both"/>
      </w:pPr>
      <w:r w:rsidRPr="00204CEA">
        <w:t>La entidad no aplicará la NIIF a los desembolsos en los que haya incurrido:</w:t>
      </w:r>
    </w:p>
    <w:p w:rsidR="00555544" w:rsidRPr="00204CEA" w:rsidRDefault="004573C6" w:rsidP="00801D62">
      <w:pPr>
        <w:pStyle w:val="NormalWeb"/>
        <w:numPr>
          <w:ilvl w:val="0"/>
          <w:numId w:val="34"/>
        </w:numPr>
        <w:spacing w:line="360" w:lineRule="auto"/>
        <w:jc w:val="both"/>
      </w:pPr>
      <w:r w:rsidRPr="00204CEA">
        <w:t>antes de la exploración y evaluación de los recursos minerales, tales como desembolsos en los que la entidad incurra antes de obtener el derecho legal a exp</w:t>
      </w:r>
      <w:r w:rsidR="00555544" w:rsidRPr="00204CEA">
        <w:t xml:space="preserve">lorar un área determinada; </w:t>
      </w:r>
    </w:p>
    <w:p w:rsidR="004573C6" w:rsidRPr="00204CEA" w:rsidRDefault="004573C6" w:rsidP="00801D62">
      <w:pPr>
        <w:pStyle w:val="NormalWeb"/>
        <w:numPr>
          <w:ilvl w:val="0"/>
          <w:numId w:val="34"/>
        </w:numPr>
        <w:spacing w:line="360" w:lineRule="auto"/>
        <w:jc w:val="both"/>
      </w:pPr>
      <w:r w:rsidRPr="00204CEA">
        <w:t>después de que sea demostrable la factibilidad técnica y la viabilidad comercial de la extracción de un recurso mineral</w:t>
      </w:r>
    </w:p>
    <w:p w:rsidR="004573C6" w:rsidRPr="00204CEA" w:rsidRDefault="00555544" w:rsidP="00801D62">
      <w:pPr>
        <w:spacing w:line="360" w:lineRule="auto"/>
        <w:jc w:val="both"/>
        <w:rPr>
          <w:rFonts w:ascii="Times New Roman" w:hAnsi="Times New Roman" w:cs="Times New Roman"/>
          <w:b/>
          <w:sz w:val="24"/>
          <w:szCs w:val="24"/>
        </w:rPr>
      </w:pPr>
      <w:r w:rsidRPr="00204CEA">
        <w:rPr>
          <w:rFonts w:ascii="Times New Roman" w:hAnsi="Times New Roman" w:cs="Times New Roman"/>
          <w:b/>
          <w:sz w:val="24"/>
          <w:szCs w:val="24"/>
        </w:rPr>
        <w:t>RECONCIMIENTO DE ACTIVOS PARA EXPLORACION  Y EVALUACIÓN</w:t>
      </w:r>
    </w:p>
    <w:p w:rsidR="00555544" w:rsidRPr="00204CEA" w:rsidRDefault="00555544" w:rsidP="00801D62">
      <w:pPr>
        <w:spacing w:line="360" w:lineRule="auto"/>
        <w:jc w:val="both"/>
        <w:rPr>
          <w:rFonts w:ascii="Times New Roman" w:hAnsi="Times New Roman" w:cs="Times New Roman"/>
          <w:sz w:val="24"/>
          <w:szCs w:val="24"/>
        </w:rPr>
      </w:pPr>
      <w:r w:rsidRPr="00204CEA">
        <w:rPr>
          <w:rFonts w:ascii="Times New Roman" w:hAnsi="Times New Roman" w:cs="Times New Roman"/>
          <w:sz w:val="24"/>
          <w:szCs w:val="24"/>
        </w:rPr>
        <w:t xml:space="preserve">Al desarrollar sus políticas contables, una entidad que reconozca activos para exploración y evaluación aplicará el párrafo 10 de la NIC 8 Políticas contables, cambios en las estimaciones </w:t>
      </w:r>
      <w:r w:rsidR="00204CEA">
        <w:rPr>
          <w:rFonts w:ascii="Times New Roman" w:hAnsi="Times New Roman" w:cs="Times New Roman"/>
          <w:sz w:val="24"/>
          <w:szCs w:val="24"/>
        </w:rPr>
        <w:t>contables y errores</w:t>
      </w:r>
    </w:p>
    <w:p w:rsidR="00555544" w:rsidRPr="00204CEA" w:rsidRDefault="00555544" w:rsidP="00801D62">
      <w:pPr>
        <w:spacing w:line="360" w:lineRule="auto"/>
        <w:jc w:val="both"/>
        <w:rPr>
          <w:rFonts w:ascii="Times New Roman" w:hAnsi="Times New Roman" w:cs="Times New Roman"/>
          <w:b/>
          <w:sz w:val="24"/>
          <w:szCs w:val="24"/>
        </w:rPr>
      </w:pPr>
      <w:r w:rsidRPr="00204CEA">
        <w:rPr>
          <w:rFonts w:ascii="Times New Roman" w:hAnsi="Times New Roman" w:cs="Times New Roman"/>
          <w:b/>
          <w:sz w:val="24"/>
          <w:szCs w:val="24"/>
        </w:rPr>
        <w:lastRenderedPageBreak/>
        <w:t>VALORACIÓN DE ACTIVOS PARA EXPLOTACIÓN Y EVALUACIÓN</w:t>
      </w:r>
    </w:p>
    <w:p w:rsidR="00B42663" w:rsidRPr="00204CEA" w:rsidRDefault="00555544" w:rsidP="00801D62">
      <w:pPr>
        <w:spacing w:line="360" w:lineRule="auto"/>
        <w:jc w:val="both"/>
        <w:rPr>
          <w:rFonts w:ascii="Times New Roman" w:hAnsi="Times New Roman" w:cs="Times New Roman"/>
          <w:sz w:val="24"/>
          <w:szCs w:val="24"/>
        </w:rPr>
      </w:pPr>
      <w:r w:rsidRPr="00204CEA">
        <w:rPr>
          <w:rFonts w:ascii="Times New Roman" w:hAnsi="Times New Roman" w:cs="Times New Roman"/>
          <w:sz w:val="24"/>
          <w:szCs w:val="24"/>
        </w:rPr>
        <w:t>Valoración en el reconocimiento</w:t>
      </w:r>
    </w:p>
    <w:p w:rsidR="00555544" w:rsidRPr="00204CEA" w:rsidRDefault="00B42663" w:rsidP="00801D62">
      <w:pPr>
        <w:spacing w:line="360" w:lineRule="auto"/>
        <w:jc w:val="both"/>
        <w:rPr>
          <w:rFonts w:ascii="Times New Roman" w:hAnsi="Times New Roman" w:cs="Times New Roman"/>
          <w:sz w:val="24"/>
          <w:szCs w:val="24"/>
        </w:rPr>
      </w:pPr>
      <w:r w:rsidRPr="00204CEA">
        <w:rPr>
          <w:rFonts w:ascii="Times New Roman" w:hAnsi="Times New Roman" w:cs="Times New Roman"/>
          <w:sz w:val="24"/>
          <w:szCs w:val="24"/>
        </w:rPr>
        <w:t>Los</w:t>
      </w:r>
      <w:r w:rsidR="00555544" w:rsidRPr="00204CEA">
        <w:rPr>
          <w:rFonts w:ascii="Times New Roman" w:hAnsi="Times New Roman" w:cs="Times New Roman"/>
          <w:sz w:val="24"/>
          <w:szCs w:val="24"/>
        </w:rPr>
        <w:t xml:space="preserve"> activos para exploración y evaluación se </w:t>
      </w:r>
      <w:proofErr w:type="gramStart"/>
      <w:r w:rsidR="00555544" w:rsidRPr="00204CEA">
        <w:rPr>
          <w:rFonts w:ascii="Times New Roman" w:hAnsi="Times New Roman" w:cs="Times New Roman"/>
          <w:sz w:val="24"/>
          <w:szCs w:val="24"/>
        </w:rPr>
        <w:t>valorará</w:t>
      </w:r>
      <w:proofErr w:type="gramEnd"/>
      <w:r w:rsidR="00555544" w:rsidRPr="00204CEA">
        <w:rPr>
          <w:rFonts w:ascii="Times New Roman" w:hAnsi="Times New Roman" w:cs="Times New Roman"/>
          <w:sz w:val="24"/>
          <w:szCs w:val="24"/>
        </w:rPr>
        <w:t xml:space="preserve"> por su coste. </w:t>
      </w:r>
    </w:p>
    <w:p w:rsidR="00555544" w:rsidRPr="00204CEA" w:rsidRDefault="00B42663" w:rsidP="00801D62">
      <w:pPr>
        <w:pStyle w:val="Prrafodelista"/>
        <w:numPr>
          <w:ilvl w:val="0"/>
          <w:numId w:val="35"/>
        </w:numPr>
        <w:spacing w:line="360" w:lineRule="auto"/>
        <w:jc w:val="both"/>
        <w:rPr>
          <w:rFonts w:ascii="Times New Roman" w:hAnsi="Times New Roman" w:cs="Times New Roman"/>
          <w:sz w:val="24"/>
          <w:szCs w:val="24"/>
        </w:rPr>
      </w:pPr>
      <w:r w:rsidRPr="00204CEA">
        <w:rPr>
          <w:rFonts w:ascii="Times New Roman" w:hAnsi="Times New Roman" w:cs="Times New Roman"/>
          <w:sz w:val="24"/>
          <w:szCs w:val="24"/>
        </w:rPr>
        <w:t>Componentes del coste de los activos para exploración y evaluación</w:t>
      </w:r>
    </w:p>
    <w:p w:rsidR="00B42663" w:rsidRPr="00204CEA" w:rsidRDefault="00B42663" w:rsidP="00801D62">
      <w:pPr>
        <w:pStyle w:val="Prrafodelista"/>
        <w:numPr>
          <w:ilvl w:val="0"/>
          <w:numId w:val="35"/>
        </w:numPr>
        <w:spacing w:line="360" w:lineRule="auto"/>
        <w:jc w:val="both"/>
        <w:rPr>
          <w:rFonts w:ascii="Times New Roman" w:hAnsi="Times New Roman" w:cs="Times New Roman"/>
          <w:sz w:val="24"/>
          <w:szCs w:val="24"/>
        </w:rPr>
      </w:pPr>
      <w:r w:rsidRPr="00204CEA">
        <w:rPr>
          <w:rFonts w:ascii="Times New Roman" w:hAnsi="Times New Roman" w:cs="Times New Roman"/>
          <w:sz w:val="24"/>
          <w:szCs w:val="24"/>
        </w:rPr>
        <w:t>Valoración posterior al reconocimiento</w:t>
      </w:r>
    </w:p>
    <w:p w:rsidR="00B42663" w:rsidRPr="00204CEA" w:rsidRDefault="00B42663" w:rsidP="00801D62">
      <w:pPr>
        <w:pStyle w:val="Prrafodelista"/>
        <w:numPr>
          <w:ilvl w:val="0"/>
          <w:numId w:val="35"/>
        </w:numPr>
        <w:spacing w:line="360" w:lineRule="auto"/>
        <w:jc w:val="both"/>
        <w:rPr>
          <w:rFonts w:ascii="Times New Roman" w:hAnsi="Times New Roman" w:cs="Times New Roman"/>
          <w:sz w:val="24"/>
          <w:szCs w:val="24"/>
        </w:rPr>
      </w:pPr>
      <w:r w:rsidRPr="00204CEA">
        <w:rPr>
          <w:rFonts w:ascii="Times New Roman" w:hAnsi="Times New Roman" w:cs="Times New Roman"/>
          <w:sz w:val="24"/>
          <w:szCs w:val="24"/>
        </w:rPr>
        <w:t>Cambios en las políticas contables</w:t>
      </w:r>
    </w:p>
    <w:p w:rsidR="00555544" w:rsidRPr="00204CEA" w:rsidRDefault="00B42663" w:rsidP="00801D62">
      <w:pPr>
        <w:spacing w:line="360" w:lineRule="auto"/>
        <w:jc w:val="both"/>
        <w:rPr>
          <w:rFonts w:ascii="Times New Roman" w:hAnsi="Times New Roman" w:cs="Times New Roman"/>
          <w:b/>
          <w:sz w:val="24"/>
          <w:szCs w:val="24"/>
        </w:rPr>
      </w:pPr>
      <w:r w:rsidRPr="00204CEA">
        <w:rPr>
          <w:rFonts w:ascii="Times New Roman" w:hAnsi="Times New Roman" w:cs="Times New Roman"/>
          <w:b/>
          <w:sz w:val="24"/>
          <w:szCs w:val="24"/>
        </w:rPr>
        <w:t>PRESENTACIÓN</w:t>
      </w:r>
    </w:p>
    <w:p w:rsidR="00B42663" w:rsidRPr="00204CEA" w:rsidRDefault="00B42663" w:rsidP="00801D62">
      <w:pPr>
        <w:pStyle w:val="Prrafodelista"/>
        <w:numPr>
          <w:ilvl w:val="0"/>
          <w:numId w:val="36"/>
        </w:numPr>
        <w:spacing w:line="360" w:lineRule="auto"/>
        <w:jc w:val="both"/>
        <w:rPr>
          <w:rFonts w:ascii="Times New Roman" w:hAnsi="Times New Roman" w:cs="Times New Roman"/>
          <w:sz w:val="24"/>
          <w:szCs w:val="24"/>
        </w:rPr>
      </w:pPr>
      <w:r w:rsidRPr="00204CEA">
        <w:rPr>
          <w:rFonts w:ascii="Times New Roman" w:hAnsi="Times New Roman" w:cs="Times New Roman"/>
          <w:sz w:val="24"/>
          <w:szCs w:val="24"/>
        </w:rPr>
        <w:t>Clasificación de activos para exploración y evaluación</w:t>
      </w:r>
    </w:p>
    <w:p w:rsidR="00555544" w:rsidRPr="00204CEA" w:rsidRDefault="00B42663" w:rsidP="00801D62">
      <w:pPr>
        <w:pStyle w:val="Prrafodelista"/>
        <w:numPr>
          <w:ilvl w:val="0"/>
          <w:numId w:val="36"/>
        </w:numPr>
        <w:spacing w:line="360" w:lineRule="auto"/>
        <w:jc w:val="both"/>
        <w:rPr>
          <w:rFonts w:ascii="Times New Roman" w:hAnsi="Times New Roman" w:cs="Times New Roman"/>
          <w:b/>
          <w:sz w:val="24"/>
          <w:szCs w:val="24"/>
        </w:rPr>
      </w:pPr>
      <w:r w:rsidRPr="00204CEA">
        <w:rPr>
          <w:rFonts w:ascii="Times New Roman" w:hAnsi="Times New Roman" w:cs="Times New Roman"/>
          <w:sz w:val="24"/>
          <w:szCs w:val="24"/>
        </w:rPr>
        <w:t>Reclasificación de los activos para exploración y evaluación</w:t>
      </w:r>
    </w:p>
    <w:p w:rsidR="00FE66A9" w:rsidRPr="00204CEA" w:rsidRDefault="00FE66A9" w:rsidP="00801D62">
      <w:pPr>
        <w:spacing w:line="360" w:lineRule="auto"/>
        <w:jc w:val="both"/>
        <w:rPr>
          <w:rFonts w:ascii="Times New Roman" w:hAnsi="Times New Roman" w:cs="Times New Roman"/>
          <w:b/>
          <w:sz w:val="24"/>
          <w:szCs w:val="24"/>
        </w:rPr>
      </w:pPr>
      <w:r w:rsidRPr="00204CEA">
        <w:rPr>
          <w:rFonts w:ascii="Times New Roman" w:hAnsi="Times New Roman" w:cs="Times New Roman"/>
          <w:b/>
          <w:sz w:val="24"/>
          <w:szCs w:val="24"/>
        </w:rPr>
        <w:t>FECHA DE VIGENCIA</w:t>
      </w:r>
    </w:p>
    <w:p w:rsidR="00FE66A9" w:rsidRPr="00204CEA" w:rsidRDefault="00FE66A9" w:rsidP="00801D62">
      <w:pPr>
        <w:spacing w:line="360" w:lineRule="auto"/>
        <w:jc w:val="both"/>
        <w:rPr>
          <w:rFonts w:ascii="Times New Roman" w:hAnsi="Times New Roman" w:cs="Times New Roman"/>
          <w:sz w:val="24"/>
          <w:szCs w:val="24"/>
        </w:rPr>
      </w:pPr>
      <w:r w:rsidRPr="00204CEA">
        <w:rPr>
          <w:rFonts w:ascii="Times New Roman" w:hAnsi="Times New Roman" w:cs="Times New Roman"/>
          <w:sz w:val="24"/>
          <w:szCs w:val="24"/>
        </w:rPr>
        <w:t>La entidad aplicará esta NIIF en los ejercicios anuales que comiencen a partir del 1 de enero de 2006.</w:t>
      </w:r>
    </w:p>
    <w:p w:rsidR="00A97BE0" w:rsidRPr="00204CEA" w:rsidRDefault="00A97BE0" w:rsidP="00801D62">
      <w:pPr>
        <w:spacing w:line="360" w:lineRule="auto"/>
        <w:jc w:val="both"/>
        <w:rPr>
          <w:rFonts w:ascii="Times New Roman" w:hAnsi="Times New Roman" w:cs="Times New Roman"/>
          <w:sz w:val="24"/>
          <w:szCs w:val="24"/>
        </w:rPr>
      </w:pPr>
    </w:p>
    <w:p w:rsidR="008F5254" w:rsidRPr="00204CEA" w:rsidRDefault="008F5254" w:rsidP="00801D62">
      <w:pPr>
        <w:spacing w:line="360" w:lineRule="auto"/>
        <w:jc w:val="both"/>
        <w:rPr>
          <w:rFonts w:ascii="Times New Roman" w:hAnsi="Times New Roman" w:cs="Times New Roman"/>
          <w:b/>
          <w:color w:val="0070C0"/>
          <w:sz w:val="28"/>
          <w:szCs w:val="24"/>
        </w:rPr>
      </w:pPr>
      <w:r w:rsidRPr="00204CEA">
        <w:rPr>
          <w:rFonts w:ascii="Times New Roman" w:hAnsi="Times New Roman" w:cs="Times New Roman"/>
          <w:b/>
          <w:color w:val="0070C0"/>
          <w:sz w:val="28"/>
          <w:szCs w:val="24"/>
        </w:rPr>
        <w:t xml:space="preserve">NIIF N°7. </w:t>
      </w:r>
      <w:r w:rsidR="00AA681F" w:rsidRPr="00204CEA">
        <w:rPr>
          <w:rFonts w:ascii="Times New Roman" w:hAnsi="Times New Roman" w:cs="Times New Roman"/>
          <w:b/>
          <w:color w:val="0070C0"/>
          <w:sz w:val="28"/>
          <w:szCs w:val="24"/>
        </w:rPr>
        <w:t>INSTRUMENTOS</w:t>
      </w:r>
      <w:r w:rsidR="001F6189" w:rsidRPr="00204CEA">
        <w:rPr>
          <w:rFonts w:ascii="Times New Roman" w:hAnsi="Times New Roman" w:cs="Times New Roman"/>
          <w:b/>
          <w:color w:val="0070C0"/>
          <w:sz w:val="28"/>
          <w:szCs w:val="24"/>
        </w:rPr>
        <w:t xml:space="preserve"> FINANCIEROS: INFORMACIÓN A REVE</w:t>
      </w:r>
      <w:r w:rsidR="00AA681F" w:rsidRPr="00204CEA">
        <w:rPr>
          <w:rFonts w:ascii="Times New Roman" w:hAnsi="Times New Roman" w:cs="Times New Roman"/>
          <w:b/>
          <w:color w:val="0070C0"/>
          <w:sz w:val="28"/>
          <w:szCs w:val="24"/>
        </w:rPr>
        <w:t>LAR</w:t>
      </w:r>
      <w:r w:rsidRPr="00204CEA">
        <w:rPr>
          <w:rFonts w:ascii="Times New Roman" w:hAnsi="Times New Roman" w:cs="Times New Roman"/>
          <w:b/>
          <w:color w:val="0070C0"/>
          <w:sz w:val="28"/>
          <w:szCs w:val="24"/>
        </w:rPr>
        <w:t>.</w:t>
      </w:r>
    </w:p>
    <w:p w:rsidR="00AA681F" w:rsidRPr="00204CEA" w:rsidRDefault="00AA681F" w:rsidP="00801D62">
      <w:pPr>
        <w:pStyle w:val="Ttulo2"/>
        <w:spacing w:line="360" w:lineRule="auto"/>
        <w:jc w:val="both"/>
        <w:rPr>
          <w:sz w:val="24"/>
          <w:szCs w:val="24"/>
        </w:rPr>
      </w:pPr>
      <w:r w:rsidRPr="00204CEA">
        <w:rPr>
          <w:rStyle w:val="cufon-alt"/>
          <w:sz w:val="24"/>
          <w:szCs w:val="24"/>
        </w:rPr>
        <w:t>OBJETIVO</w:t>
      </w:r>
    </w:p>
    <w:p w:rsidR="00AA681F" w:rsidRPr="00204CEA" w:rsidRDefault="00AA681F" w:rsidP="00801D62">
      <w:pPr>
        <w:pStyle w:val="NormalWeb"/>
        <w:spacing w:line="360" w:lineRule="auto"/>
        <w:jc w:val="both"/>
      </w:pPr>
      <w:r w:rsidRPr="00204CEA">
        <w:t>El objetivo de esta NIIF es requerir a las entidades que, en sus estados financieros, revelen información que permita a los usuarios evaluar:</w:t>
      </w:r>
    </w:p>
    <w:p w:rsidR="004640A5" w:rsidRPr="00204CEA" w:rsidRDefault="00AA681F" w:rsidP="00801D62">
      <w:pPr>
        <w:pStyle w:val="NormalWeb"/>
        <w:numPr>
          <w:ilvl w:val="0"/>
          <w:numId w:val="37"/>
        </w:numPr>
        <w:spacing w:line="360" w:lineRule="auto"/>
        <w:jc w:val="both"/>
      </w:pPr>
      <w:r w:rsidRPr="00204CEA">
        <w:t>la relevancia de los instrumentos financieros en la situación financiera y en el re</w:t>
      </w:r>
      <w:r w:rsidR="004640A5" w:rsidRPr="00204CEA">
        <w:t xml:space="preserve">ndimiento de la entidad; y </w:t>
      </w:r>
    </w:p>
    <w:p w:rsidR="00AA681F" w:rsidRPr="00204CEA" w:rsidRDefault="00AA681F" w:rsidP="00801D62">
      <w:pPr>
        <w:pStyle w:val="NormalWeb"/>
        <w:numPr>
          <w:ilvl w:val="0"/>
          <w:numId w:val="37"/>
        </w:numPr>
        <w:spacing w:line="360" w:lineRule="auto"/>
        <w:jc w:val="both"/>
      </w:pPr>
      <w:r w:rsidRPr="00204CEA">
        <w:t>la naturaleza y alcance de los riesgos procedentes de los instrumentos financieros a los que la entidad se haya expuesto durante el ejercicio y en la fecha de presentación, así como la forma de gestionar dichos riesgos.</w:t>
      </w:r>
    </w:p>
    <w:p w:rsidR="00AA681F" w:rsidRPr="00204CEA" w:rsidRDefault="00AA681F" w:rsidP="00801D62">
      <w:pPr>
        <w:pStyle w:val="NormalWeb"/>
        <w:spacing w:line="360" w:lineRule="auto"/>
        <w:jc w:val="both"/>
      </w:pPr>
      <w:r w:rsidRPr="00204CEA">
        <w:lastRenderedPageBreak/>
        <w:t>Los principios de esta NIIF complementan a los de reconocimiento, valoración y presentación de los activos financieros y los pasivos financieros de la NIC 32 Instrumentos financieros: Presentación y de la NIC 39 Instrumentos financieros: Reconocimiento y valoración.</w:t>
      </w:r>
    </w:p>
    <w:p w:rsidR="00AA681F" w:rsidRPr="00204CEA" w:rsidRDefault="004640A5" w:rsidP="00801D62">
      <w:pPr>
        <w:pStyle w:val="Ttulo2"/>
        <w:spacing w:line="360" w:lineRule="auto"/>
        <w:jc w:val="both"/>
        <w:rPr>
          <w:sz w:val="24"/>
          <w:szCs w:val="24"/>
        </w:rPr>
      </w:pPr>
      <w:r w:rsidRPr="00204CEA">
        <w:rPr>
          <w:rStyle w:val="cufon-alt"/>
          <w:sz w:val="24"/>
          <w:szCs w:val="24"/>
        </w:rPr>
        <w:t>ALCANCE</w:t>
      </w:r>
    </w:p>
    <w:p w:rsidR="00AA681F" w:rsidRPr="00204CEA" w:rsidRDefault="00AA681F" w:rsidP="00801D62">
      <w:pPr>
        <w:pStyle w:val="NormalWeb"/>
        <w:spacing w:line="360" w:lineRule="auto"/>
        <w:jc w:val="both"/>
      </w:pPr>
      <w:r w:rsidRPr="00204CEA">
        <w:t>Esta NIIF deberá aplicarse por todas las entidades, a toda clase de instrumentos financieros, excepto a:</w:t>
      </w:r>
    </w:p>
    <w:p w:rsidR="004640A5" w:rsidRPr="00204CEA" w:rsidRDefault="00AA681F" w:rsidP="00801D62">
      <w:pPr>
        <w:pStyle w:val="NormalWeb"/>
        <w:numPr>
          <w:ilvl w:val="0"/>
          <w:numId w:val="38"/>
        </w:numPr>
        <w:spacing w:line="360" w:lineRule="auto"/>
        <w:jc w:val="both"/>
      </w:pPr>
      <w:r w:rsidRPr="00204CEA">
        <w:t>Aquellas participaciones en dependientes, asociadas y negocios conjuntos, que se contabilicen de acuerdo con la NIC 27 Estados financieros consolidados y separados, la NIC 28 Inversiones en asociadas o la NIC 31 Participaciones en negocios conjuntos. No obstante, en algunos casos la NIC 27, la NIC 28 o la NIC 31 permiten que una entidad contabilice las participaciones en una dependiente, asociada o negocio conjunto aplicando la NIC 39; en esos casos, las entidades aplicarán los requerimientos de esta Norma. Las entidades aplicarán también esta Norma a todos los derivados vinculados a las participaciones en dependientes, asociadas o negocios conjuntos, a menos que el derivado cumpla la definición de un instrumento d</w:t>
      </w:r>
      <w:r w:rsidR="004640A5" w:rsidRPr="00204CEA">
        <w:t xml:space="preserve">e patrimonio de la NIC 32. </w:t>
      </w:r>
    </w:p>
    <w:p w:rsidR="004640A5" w:rsidRPr="00204CEA" w:rsidRDefault="00AA681F" w:rsidP="00801D62">
      <w:pPr>
        <w:pStyle w:val="NormalWeb"/>
        <w:numPr>
          <w:ilvl w:val="0"/>
          <w:numId w:val="38"/>
        </w:numPr>
        <w:spacing w:line="360" w:lineRule="auto"/>
        <w:jc w:val="both"/>
      </w:pPr>
      <w:r w:rsidRPr="00204CEA">
        <w:t>Los derechos y obligaciones de los empleadores surgidos por los planes de retribuciones a los empleados a los que se les aplique la NIC 19 Ret</w:t>
      </w:r>
      <w:r w:rsidR="004640A5" w:rsidRPr="00204CEA">
        <w:t xml:space="preserve">ribuciones a los empleados. </w:t>
      </w:r>
    </w:p>
    <w:p w:rsidR="004640A5" w:rsidRPr="00204CEA" w:rsidRDefault="00AA681F" w:rsidP="00801D62">
      <w:pPr>
        <w:pStyle w:val="NormalWeb"/>
        <w:numPr>
          <w:ilvl w:val="0"/>
          <w:numId w:val="38"/>
        </w:numPr>
        <w:spacing w:line="360" w:lineRule="auto"/>
        <w:jc w:val="both"/>
      </w:pPr>
      <w:r w:rsidRPr="00204CEA">
        <w:t>Los contratos de seguro, según se definen en la NIIF 4 Contratos de seguro. No obstante, esta NIIF será de aplicación a los derivados implícitos en los contratos de seguros siempre que la NIC 39 requiera que la entidad los contabilice por separado. Además, un emisor aplicará esta NIIF a los contratos de garantía financiera si aplicase la NIC 39 en el reconocimiento y valoración de esos contratos, pero aplicará la NIIF 4 si eligiese, de acuerdo con el apartado (d) del párrafo 4 de la NIIF 4, aplicar dicha NIIF 4 para su re</w:t>
      </w:r>
      <w:r w:rsidR="004640A5" w:rsidRPr="00204CEA">
        <w:t xml:space="preserve">conocimiento y valoración. </w:t>
      </w:r>
    </w:p>
    <w:p w:rsidR="004640A5" w:rsidRPr="00204CEA" w:rsidRDefault="00AA681F" w:rsidP="00801D62">
      <w:pPr>
        <w:pStyle w:val="NormalWeb"/>
        <w:numPr>
          <w:ilvl w:val="0"/>
          <w:numId w:val="38"/>
        </w:numPr>
        <w:spacing w:line="360" w:lineRule="auto"/>
        <w:jc w:val="both"/>
      </w:pPr>
      <w:r w:rsidRPr="00204CEA">
        <w:t xml:space="preserve">Los instrumentos financieros, contratos y obligaciones que surjan de transacciones con pagos basados en acciones a los que se aplique la NIIF 2 Pagos basados en </w:t>
      </w:r>
      <w:r w:rsidRPr="00204CEA">
        <w:lastRenderedPageBreak/>
        <w:t>acciones, excepto los contratos que estén dentro del alcance de los párrafos 5 a 7 de la NIC 39</w:t>
      </w:r>
      <w:r w:rsidR="004640A5" w:rsidRPr="00204CEA">
        <w:t>, que aplicarán esta NIIF.</w:t>
      </w:r>
    </w:p>
    <w:p w:rsidR="00AA681F" w:rsidRPr="00204CEA" w:rsidRDefault="00AA681F" w:rsidP="00801D62">
      <w:pPr>
        <w:pStyle w:val="NormalWeb"/>
        <w:numPr>
          <w:ilvl w:val="0"/>
          <w:numId w:val="38"/>
        </w:numPr>
        <w:spacing w:line="360" w:lineRule="auto"/>
        <w:jc w:val="both"/>
      </w:pPr>
      <w:r w:rsidRPr="00204CEA">
        <w:t>Instrumentos que requieran ser clasificados como instrumentos de patrimonio de acuerdo con los párrafos 16A y 16B o los párrafos 16C y 16D de la NIC 32.</w:t>
      </w:r>
    </w:p>
    <w:p w:rsidR="00AA681F" w:rsidRPr="00204CEA" w:rsidRDefault="00AA681F" w:rsidP="00801D62">
      <w:pPr>
        <w:pStyle w:val="NormalWeb"/>
        <w:numPr>
          <w:ilvl w:val="0"/>
          <w:numId w:val="31"/>
        </w:numPr>
        <w:spacing w:line="360" w:lineRule="auto"/>
        <w:jc w:val="both"/>
      </w:pPr>
      <w:r w:rsidRPr="00204CEA">
        <w:t>Esta NIIF se aplicará tanto a los instrumentos financieros que se reconozcan contablemente como a los que no se reconozcan. Los instrumentos financieros reconocidos comprenden activos financieros y pasivos financieros que estén dentro del alcance de la NIC 39. Los instrumentos financieros no reconocidos comprenden algunos instrumentos financieros que, aunque estén fuera del ámbito de aplicación de la NIC 39, entran dentro del alcance de esta NIIF (como, por ejemplo, algunos compromisos de préstamo).</w:t>
      </w:r>
    </w:p>
    <w:p w:rsidR="00AA681F" w:rsidRPr="00204CEA" w:rsidRDefault="00AA681F" w:rsidP="00801D62">
      <w:pPr>
        <w:pStyle w:val="NormalWeb"/>
        <w:numPr>
          <w:ilvl w:val="0"/>
          <w:numId w:val="31"/>
        </w:numPr>
        <w:spacing w:line="360" w:lineRule="auto"/>
        <w:jc w:val="both"/>
      </w:pPr>
      <w:r w:rsidRPr="00204CEA">
        <w:t>Esta NIIF es aplicable a los contratos de compra o de venta de elementos no financieros que estén dentro del alcance de la NIC 39 (véanse los párrafos 5 a 7 de la NIC 39).</w:t>
      </w:r>
    </w:p>
    <w:p w:rsidR="00AA681F" w:rsidRPr="00204CEA" w:rsidRDefault="004640A5" w:rsidP="00801D62">
      <w:pPr>
        <w:pStyle w:val="Ttulo2"/>
        <w:spacing w:line="360" w:lineRule="auto"/>
        <w:jc w:val="both"/>
        <w:rPr>
          <w:sz w:val="24"/>
          <w:szCs w:val="24"/>
        </w:rPr>
      </w:pPr>
      <w:r w:rsidRPr="00204CEA">
        <w:rPr>
          <w:rStyle w:val="cufon-alt"/>
          <w:sz w:val="24"/>
          <w:szCs w:val="24"/>
        </w:rPr>
        <w:t>CLASES DE INSTRUMENTOS FINANCIEROS Y NIVEL DE INFORMACIÓN</w:t>
      </w:r>
    </w:p>
    <w:p w:rsidR="00AA681F" w:rsidRPr="00204CEA" w:rsidRDefault="00AA681F" w:rsidP="00801D62">
      <w:pPr>
        <w:pStyle w:val="NormalWeb"/>
        <w:numPr>
          <w:ilvl w:val="0"/>
          <w:numId w:val="39"/>
        </w:numPr>
        <w:spacing w:line="360" w:lineRule="auto"/>
        <w:jc w:val="both"/>
      </w:pPr>
      <w:r w:rsidRPr="00204CEA">
        <w:t>Cuando esta NIIF requiera que la información se suministre por clases de instrumentos financieros, la entidad agrupará los instrumentos financieros en las clases que sean apropiadas según la naturaleza de la información a revelar y que tengan en cuenta las características de dichos instrumentos financieros. La entidad facilitará información suficiente para permitir la conciliación con las rúbricas que contengan las partidas correspondientes presentadas en el balance.</w:t>
      </w:r>
    </w:p>
    <w:p w:rsidR="00AA681F" w:rsidRPr="00204CEA" w:rsidRDefault="004640A5" w:rsidP="00801D62">
      <w:pPr>
        <w:pStyle w:val="Ttulo2"/>
        <w:spacing w:line="360" w:lineRule="auto"/>
        <w:jc w:val="both"/>
        <w:rPr>
          <w:sz w:val="24"/>
          <w:szCs w:val="24"/>
        </w:rPr>
      </w:pPr>
      <w:r w:rsidRPr="00204CEA">
        <w:rPr>
          <w:rStyle w:val="cufon-alt"/>
          <w:sz w:val="24"/>
          <w:szCs w:val="24"/>
        </w:rPr>
        <w:t>RELEVANCIA DE LOS INSTRUMENTOS FINANCIEROS EN LA SITUACIÓN FINANCIERA Y EN EL RENDIMIENTO</w:t>
      </w:r>
    </w:p>
    <w:p w:rsidR="00AA681F" w:rsidRDefault="00AA681F" w:rsidP="00801D62">
      <w:pPr>
        <w:pStyle w:val="NormalWeb"/>
        <w:spacing w:line="360" w:lineRule="auto"/>
        <w:jc w:val="both"/>
      </w:pPr>
      <w:r w:rsidRPr="00204CEA">
        <w:t>La entidad suministrará información que permita a los usuarios de sus estados financieros evaluar la relevancia de los instrumentos financieros en la situación financiera y en el rendimiento.</w:t>
      </w:r>
    </w:p>
    <w:p w:rsidR="00204CEA" w:rsidRPr="00204CEA" w:rsidRDefault="00204CEA" w:rsidP="00801D62">
      <w:pPr>
        <w:pStyle w:val="NormalWeb"/>
        <w:spacing w:line="360" w:lineRule="auto"/>
        <w:jc w:val="both"/>
      </w:pPr>
    </w:p>
    <w:p w:rsidR="004640A5" w:rsidRPr="00204CEA" w:rsidRDefault="002F1422" w:rsidP="00801D62">
      <w:pPr>
        <w:pStyle w:val="NormalWeb"/>
        <w:spacing w:line="360" w:lineRule="auto"/>
        <w:jc w:val="both"/>
        <w:rPr>
          <w:b/>
        </w:rPr>
      </w:pPr>
      <w:r w:rsidRPr="00204CEA">
        <w:rPr>
          <w:b/>
        </w:rPr>
        <w:lastRenderedPageBreak/>
        <w:t>BALANCE</w:t>
      </w:r>
    </w:p>
    <w:p w:rsidR="00AA681F" w:rsidRPr="00204CEA" w:rsidRDefault="002F1422" w:rsidP="00801D62">
      <w:pPr>
        <w:pStyle w:val="Prrafodelista"/>
        <w:numPr>
          <w:ilvl w:val="0"/>
          <w:numId w:val="40"/>
        </w:numPr>
        <w:spacing w:line="360" w:lineRule="auto"/>
        <w:jc w:val="both"/>
        <w:rPr>
          <w:rFonts w:ascii="Times New Roman" w:hAnsi="Times New Roman" w:cs="Times New Roman"/>
          <w:sz w:val="24"/>
          <w:szCs w:val="24"/>
        </w:rPr>
      </w:pPr>
      <w:r w:rsidRPr="00204CEA">
        <w:rPr>
          <w:rFonts w:ascii="Times New Roman" w:hAnsi="Times New Roman" w:cs="Times New Roman"/>
          <w:sz w:val="24"/>
          <w:szCs w:val="24"/>
        </w:rPr>
        <w:t>Categorías de activos financieros y pasivos financieros</w:t>
      </w:r>
    </w:p>
    <w:p w:rsidR="002F1422" w:rsidRPr="00204CEA" w:rsidRDefault="002F1422" w:rsidP="00801D62">
      <w:pPr>
        <w:pStyle w:val="Prrafodelista"/>
        <w:numPr>
          <w:ilvl w:val="0"/>
          <w:numId w:val="40"/>
        </w:numPr>
        <w:spacing w:line="360" w:lineRule="auto"/>
        <w:jc w:val="both"/>
        <w:rPr>
          <w:rFonts w:ascii="Times New Roman" w:hAnsi="Times New Roman" w:cs="Times New Roman"/>
          <w:sz w:val="24"/>
          <w:szCs w:val="24"/>
        </w:rPr>
      </w:pPr>
      <w:r w:rsidRPr="00204CEA">
        <w:rPr>
          <w:rFonts w:ascii="Times New Roman" w:hAnsi="Times New Roman" w:cs="Times New Roman"/>
          <w:sz w:val="24"/>
          <w:szCs w:val="24"/>
        </w:rPr>
        <w:t>Activos financieros o pasivos financieros al valor razonable con cambios en resultados</w:t>
      </w:r>
    </w:p>
    <w:p w:rsidR="002F1422" w:rsidRPr="00204CEA" w:rsidRDefault="002F1422" w:rsidP="00801D62">
      <w:pPr>
        <w:pStyle w:val="Prrafodelista"/>
        <w:numPr>
          <w:ilvl w:val="0"/>
          <w:numId w:val="40"/>
        </w:numPr>
        <w:spacing w:line="360" w:lineRule="auto"/>
        <w:jc w:val="both"/>
        <w:rPr>
          <w:rFonts w:ascii="Times New Roman" w:hAnsi="Times New Roman" w:cs="Times New Roman"/>
          <w:sz w:val="24"/>
          <w:szCs w:val="24"/>
        </w:rPr>
      </w:pPr>
      <w:r w:rsidRPr="00204CEA">
        <w:rPr>
          <w:rFonts w:ascii="Times New Roman" w:hAnsi="Times New Roman" w:cs="Times New Roman"/>
          <w:sz w:val="24"/>
          <w:szCs w:val="24"/>
        </w:rPr>
        <w:t>Reclasificación</w:t>
      </w:r>
    </w:p>
    <w:p w:rsidR="002F1422" w:rsidRPr="00204CEA" w:rsidRDefault="002F1422" w:rsidP="00801D62">
      <w:pPr>
        <w:pStyle w:val="Prrafodelista"/>
        <w:numPr>
          <w:ilvl w:val="0"/>
          <w:numId w:val="40"/>
        </w:numPr>
        <w:spacing w:line="360" w:lineRule="auto"/>
        <w:jc w:val="both"/>
        <w:rPr>
          <w:rFonts w:ascii="Times New Roman" w:hAnsi="Times New Roman" w:cs="Times New Roman"/>
          <w:sz w:val="24"/>
          <w:szCs w:val="24"/>
        </w:rPr>
      </w:pPr>
      <w:r w:rsidRPr="00204CEA">
        <w:rPr>
          <w:rFonts w:ascii="Times New Roman" w:hAnsi="Times New Roman" w:cs="Times New Roman"/>
          <w:sz w:val="24"/>
          <w:szCs w:val="24"/>
        </w:rPr>
        <w:t>Baja en cuentas</w:t>
      </w:r>
    </w:p>
    <w:p w:rsidR="002F1422" w:rsidRPr="00204CEA" w:rsidRDefault="002F1422" w:rsidP="00801D62">
      <w:pPr>
        <w:pStyle w:val="Prrafodelista"/>
        <w:numPr>
          <w:ilvl w:val="0"/>
          <w:numId w:val="40"/>
        </w:numPr>
        <w:spacing w:line="360" w:lineRule="auto"/>
        <w:jc w:val="both"/>
        <w:rPr>
          <w:rFonts w:ascii="Times New Roman" w:hAnsi="Times New Roman" w:cs="Times New Roman"/>
          <w:sz w:val="24"/>
          <w:szCs w:val="24"/>
        </w:rPr>
      </w:pPr>
      <w:r w:rsidRPr="00204CEA">
        <w:rPr>
          <w:rFonts w:ascii="Times New Roman" w:hAnsi="Times New Roman" w:cs="Times New Roman"/>
          <w:sz w:val="24"/>
          <w:szCs w:val="24"/>
        </w:rPr>
        <w:t>Garantías</w:t>
      </w:r>
    </w:p>
    <w:p w:rsidR="002F1422" w:rsidRPr="00204CEA" w:rsidRDefault="002F1422" w:rsidP="00801D62">
      <w:pPr>
        <w:pStyle w:val="Prrafodelista"/>
        <w:numPr>
          <w:ilvl w:val="0"/>
          <w:numId w:val="40"/>
        </w:numPr>
        <w:spacing w:line="360" w:lineRule="auto"/>
        <w:jc w:val="both"/>
        <w:rPr>
          <w:rFonts w:ascii="Times New Roman" w:hAnsi="Times New Roman" w:cs="Times New Roman"/>
          <w:sz w:val="24"/>
          <w:szCs w:val="24"/>
        </w:rPr>
      </w:pPr>
      <w:r w:rsidRPr="00204CEA">
        <w:rPr>
          <w:rFonts w:ascii="Times New Roman" w:hAnsi="Times New Roman" w:cs="Times New Roman"/>
          <w:sz w:val="24"/>
          <w:szCs w:val="24"/>
        </w:rPr>
        <w:t>Cuenta correctora para pérdidas crediticias</w:t>
      </w:r>
    </w:p>
    <w:p w:rsidR="002F1422" w:rsidRPr="00204CEA" w:rsidRDefault="002F1422" w:rsidP="00801D62">
      <w:pPr>
        <w:pStyle w:val="Prrafodelista"/>
        <w:numPr>
          <w:ilvl w:val="0"/>
          <w:numId w:val="40"/>
        </w:numPr>
        <w:spacing w:line="360" w:lineRule="auto"/>
        <w:jc w:val="both"/>
        <w:rPr>
          <w:rFonts w:ascii="Times New Roman" w:hAnsi="Times New Roman" w:cs="Times New Roman"/>
          <w:sz w:val="24"/>
          <w:szCs w:val="24"/>
        </w:rPr>
      </w:pPr>
      <w:r w:rsidRPr="00204CEA">
        <w:rPr>
          <w:rFonts w:ascii="Times New Roman" w:hAnsi="Times New Roman" w:cs="Times New Roman"/>
          <w:sz w:val="24"/>
          <w:szCs w:val="24"/>
        </w:rPr>
        <w:t>Instrumentos financieros compuestos con múltiples derivados implícitos</w:t>
      </w:r>
    </w:p>
    <w:p w:rsidR="002F1422" w:rsidRPr="00204CEA" w:rsidRDefault="002F1422" w:rsidP="00801D62">
      <w:pPr>
        <w:pStyle w:val="Prrafodelista"/>
        <w:numPr>
          <w:ilvl w:val="0"/>
          <w:numId w:val="40"/>
        </w:numPr>
        <w:spacing w:line="360" w:lineRule="auto"/>
        <w:jc w:val="both"/>
        <w:rPr>
          <w:rFonts w:ascii="Times New Roman" w:hAnsi="Times New Roman" w:cs="Times New Roman"/>
          <w:sz w:val="24"/>
          <w:szCs w:val="24"/>
        </w:rPr>
      </w:pPr>
      <w:r w:rsidRPr="00204CEA">
        <w:rPr>
          <w:rFonts w:ascii="Times New Roman" w:hAnsi="Times New Roman" w:cs="Times New Roman"/>
          <w:sz w:val="24"/>
          <w:szCs w:val="24"/>
        </w:rPr>
        <w:t>Impagos y otros incumplimientos</w:t>
      </w:r>
    </w:p>
    <w:p w:rsidR="002F1422" w:rsidRPr="00204CEA" w:rsidRDefault="002F1422" w:rsidP="00801D62">
      <w:pPr>
        <w:pStyle w:val="Prrafodelista"/>
        <w:numPr>
          <w:ilvl w:val="0"/>
          <w:numId w:val="40"/>
        </w:numPr>
        <w:spacing w:line="360" w:lineRule="auto"/>
        <w:jc w:val="both"/>
        <w:rPr>
          <w:rFonts w:ascii="Times New Roman" w:hAnsi="Times New Roman" w:cs="Times New Roman"/>
          <w:sz w:val="24"/>
          <w:szCs w:val="24"/>
        </w:rPr>
      </w:pPr>
      <w:r w:rsidRPr="00204CEA">
        <w:rPr>
          <w:rFonts w:ascii="Times New Roman" w:hAnsi="Times New Roman" w:cs="Times New Roman"/>
          <w:sz w:val="24"/>
          <w:szCs w:val="24"/>
        </w:rPr>
        <w:t>Cuenta de resultados y patrimonio neto</w:t>
      </w:r>
    </w:p>
    <w:p w:rsidR="002F1422" w:rsidRPr="00204CEA" w:rsidRDefault="002F1422" w:rsidP="00801D62">
      <w:pPr>
        <w:pStyle w:val="Prrafodelista"/>
        <w:numPr>
          <w:ilvl w:val="0"/>
          <w:numId w:val="40"/>
        </w:numPr>
        <w:spacing w:line="360" w:lineRule="auto"/>
        <w:jc w:val="both"/>
        <w:rPr>
          <w:rFonts w:ascii="Times New Roman" w:hAnsi="Times New Roman" w:cs="Times New Roman"/>
          <w:sz w:val="24"/>
          <w:szCs w:val="24"/>
        </w:rPr>
      </w:pPr>
      <w:r w:rsidRPr="00204CEA">
        <w:rPr>
          <w:rFonts w:ascii="Times New Roman" w:hAnsi="Times New Roman" w:cs="Times New Roman"/>
          <w:sz w:val="24"/>
          <w:szCs w:val="24"/>
        </w:rPr>
        <w:t>Partida de ingresos, gastos, pérdidas o ganancias</w:t>
      </w:r>
    </w:p>
    <w:p w:rsidR="002F1422" w:rsidRPr="00204CEA" w:rsidRDefault="002F1422" w:rsidP="00801D62">
      <w:pPr>
        <w:pStyle w:val="Prrafodelista"/>
        <w:numPr>
          <w:ilvl w:val="0"/>
          <w:numId w:val="40"/>
        </w:numPr>
        <w:spacing w:line="360" w:lineRule="auto"/>
        <w:jc w:val="both"/>
        <w:rPr>
          <w:rFonts w:ascii="Times New Roman" w:hAnsi="Times New Roman" w:cs="Times New Roman"/>
          <w:sz w:val="24"/>
          <w:szCs w:val="24"/>
        </w:rPr>
      </w:pPr>
      <w:r w:rsidRPr="00204CEA">
        <w:rPr>
          <w:rFonts w:ascii="Times New Roman" w:hAnsi="Times New Roman" w:cs="Times New Roman"/>
          <w:sz w:val="24"/>
          <w:szCs w:val="24"/>
        </w:rPr>
        <w:t xml:space="preserve"> Otra información a revelar</w:t>
      </w:r>
    </w:p>
    <w:p w:rsidR="002F1422" w:rsidRPr="00204CEA" w:rsidRDefault="002F1422" w:rsidP="00801D62">
      <w:pPr>
        <w:pStyle w:val="Prrafodelista"/>
        <w:numPr>
          <w:ilvl w:val="0"/>
          <w:numId w:val="40"/>
        </w:numPr>
        <w:spacing w:line="360" w:lineRule="auto"/>
        <w:jc w:val="both"/>
        <w:rPr>
          <w:rFonts w:ascii="Times New Roman" w:hAnsi="Times New Roman" w:cs="Times New Roman"/>
          <w:sz w:val="24"/>
          <w:szCs w:val="24"/>
        </w:rPr>
      </w:pPr>
      <w:r w:rsidRPr="00204CEA">
        <w:rPr>
          <w:rFonts w:ascii="Times New Roman" w:hAnsi="Times New Roman" w:cs="Times New Roman"/>
          <w:sz w:val="24"/>
          <w:szCs w:val="24"/>
        </w:rPr>
        <w:t>Políticas contables</w:t>
      </w:r>
    </w:p>
    <w:p w:rsidR="002F1422" w:rsidRPr="00204CEA" w:rsidRDefault="002F1422" w:rsidP="00801D62">
      <w:pPr>
        <w:pStyle w:val="Prrafodelista"/>
        <w:numPr>
          <w:ilvl w:val="0"/>
          <w:numId w:val="40"/>
        </w:numPr>
        <w:spacing w:line="360" w:lineRule="auto"/>
        <w:jc w:val="both"/>
        <w:rPr>
          <w:rFonts w:ascii="Times New Roman" w:hAnsi="Times New Roman" w:cs="Times New Roman"/>
          <w:sz w:val="24"/>
          <w:szCs w:val="24"/>
        </w:rPr>
      </w:pPr>
      <w:r w:rsidRPr="00204CEA">
        <w:rPr>
          <w:rFonts w:ascii="Times New Roman" w:hAnsi="Times New Roman" w:cs="Times New Roman"/>
          <w:sz w:val="24"/>
          <w:szCs w:val="24"/>
        </w:rPr>
        <w:t>Contabilidad de coberturas</w:t>
      </w:r>
    </w:p>
    <w:p w:rsidR="002F1422" w:rsidRPr="00204CEA" w:rsidRDefault="002F1422" w:rsidP="00801D62">
      <w:pPr>
        <w:pStyle w:val="Prrafodelista"/>
        <w:numPr>
          <w:ilvl w:val="0"/>
          <w:numId w:val="40"/>
        </w:numPr>
        <w:spacing w:line="360" w:lineRule="auto"/>
        <w:jc w:val="both"/>
        <w:rPr>
          <w:rFonts w:ascii="Times New Roman" w:hAnsi="Times New Roman" w:cs="Times New Roman"/>
          <w:sz w:val="24"/>
          <w:szCs w:val="24"/>
        </w:rPr>
      </w:pPr>
      <w:r w:rsidRPr="00204CEA">
        <w:rPr>
          <w:rFonts w:ascii="Times New Roman" w:hAnsi="Times New Roman" w:cs="Times New Roman"/>
          <w:sz w:val="24"/>
          <w:szCs w:val="24"/>
        </w:rPr>
        <w:t>Valor razonable</w:t>
      </w:r>
    </w:p>
    <w:p w:rsidR="008F5254" w:rsidRPr="00204CEA" w:rsidRDefault="002F1422" w:rsidP="00801D62">
      <w:pPr>
        <w:spacing w:line="360" w:lineRule="auto"/>
        <w:jc w:val="both"/>
        <w:rPr>
          <w:rFonts w:ascii="Times New Roman" w:hAnsi="Times New Roman" w:cs="Times New Roman"/>
          <w:b/>
          <w:sz w:val="24"/>
          <w:szCs w:val="24"/>
        </w:rPr>
      </w:pPr>
      <w:r w:rsidRPr="00204CEA">
        <w:rPr>
          <w:rFonts w:ascii="Times New Roman" w:hAnsi="Times New Roman" w:cs="Times New Roman"/>
          <w:b/>
          <w:sz w:val="24"/>
          <w:szCs w:val="24"/>
        </w:rPr>
        <w:t>NATURALEZA Y ALCANCE DE LOS RIESGOS PROCEDENTES DE LOS INSTRUMENTOS FINANCIEROS</w:t>
      </w:r>
    </w:p>
    <w:p w:rsidR="002F1422" w:rsidRPr="00204CEA" w:rsidRDefault="002F1422" w:rsidP="00801D62">
      <w:pPr>
        <w:spacing w:line="360" w:lineRule="auto"/>
        <w:jc w:val="both"/>
        <w:rPr>
          <w:rFonts w:ascii="Times New Roman" w:hAnsi="Times New Roman" w:cs="Times New Roman"/>
          <w:sz w:val="24"/>
          <w:szCs w:val="24"/>
        </w:rPr>
      </w:pPr>
      <w:r w:rsidRPr="00204CEA">
        <w:rPr>
          <w:rFonts w:ascii="Times New Roman" w:hAnsi="Times New Roman" w:cs="Times New Roman"/>
          <w:sz w:val="24"/>
          <w:szCs w:val="24"/>
        </w:rPr>
        <w:t>La entidad revelará información que permita, a los usuarios de los estados financieros, evaluar la naturaleza y alcance de los riesgos procedentes de los instrumentos financieros a los que la entidad esté expuesta en la fecha de presentación.</w:t>
      </w:r>
    </w:p>
    <w:p w:rsidR="002F1422" w:rsidRPr="00204CEA" w:rsidRDefault="002F1422" w:rsidP="00801D62">
      <w:pPr>
        <w:pStyle w:val="Prrafodelista"/>
        <w:numPr>
          <w:ilvl w:val="0"/>
          <w:numId w:val="41"/>
        </w:numPr>
        <w:spacing w:line="360" w:lineRule="auto"/>
        <w:jc w:val="both"/>
        <w:rPr>
          <w:rFonts w:ascii="Times New Roman" w:hAnsi="Times New Roman" w:cs="Times New Roman"/>
          <w:sz w:val="24"/>
          <w:szCs w:val="24"/>
        </w:rPr>
      </w:pPr>
      <w:r w:rsidRPr="00204CEA">
        <w:rPr>
          <w:rFonts w:ascii="Times New Roman" w:hAnsi="Times New Roman" w:cs="Times New Roman"/>
          <w:sz w:val="24"/>
          <w:szCs w:val="24"/>
        </w:rPr>
        <w:t>Información cualitativa</w:t>
      </w:r>
    </w:p>
    <w:p w:rsidR="002F1422" w:rsidRPr="00204CEA" w:rsidRDefault="002F1422" w:rsidP="00801D62">
      <w:pPr>
        <w:pStyle w:val="Prrafodelista"/>
        <w:numPr>
          <w:ilvl w:val="0"/>
          <w:numId w:val="41"/>
        </w:numPr>
        <w:spacing w:line="360" w:lineRule="auto"/>
        <w:jc w:val="both"/>
        <w:rPr>
          <w:rFonts w:ascii="Times New Roman" w:hAnsi="Times New Roman" w:cs="Times New Roman"/>
          <w:sz w:val="24"/>
          <w:szCs w:val="24"/>
        </w:rPr>
      </w:pPr>
      <w:r w:rsidRPr="00204CEA">
        <w:rPr>
          <w:rFonts w:ascii="Times New Roman" w:hAnsi="Times New Roman" w:cs="Times New Roman"/>
          <w:sz w:val="24"/>
          <w:szCs w:val="24"/>
        </w:rPr>
        <w:t>Información cuantitativa</w:t>
      </w:r>
    </w:p>
    <w:p w:rsidR="002F1422" w:rsidRPr="00204CEA" w:rsidRDefault="002F1422" w:rsidP="00801D62">
      <w:pPr>
        <w:pStyle w:val="Prrafodelista"/>
        <w:numPr>
          <w:ilvl w:val="0"/>
          <w:numId w:val="41"/>
        </w:numPr>
        <w:spacing w:line="360" w:lineRule="auto"/>
        <w:jc w:val="both"/>
        <w:rPr>
          <w:rFonts w:ascii="Times New Roman" w:hAnsi="Times New Roman" w:cs="Times New Roman"/>
          <w:sz w:val="24"/>
          <w:szCs w:val="24"/>
        </w:rPr>
      </w:pPr>
      <w:r w:rsidRPr="00204CEA">
        <w:rPr>
          <w:rFonts w:ascii="Times New Roman" w:hAnsi="Times New Roman" w:cs="Times New Roman"/>
          <w:sz w:val="24"/>
          <w:szCs w:val="24"/>
        </w:rPr>
        <w:t>Riesgo de crédito</w:t>
      </w:r>
    </w:p>
    <w:p w:rsidR="002F1422" w:rsidRPr="00204CEA" w:rsidRDefault="002F1422" w:rsidP="00801D62">
      <w:pPr>
        <w:pStyle w:val="Prrafodelista"/>
        <w:numPr>
          <w:ilvl w:val="0"/>
          <w:numId w:val="41"/>
        </w:numPr>
        <w:spacing w:line="360" w:lineRule="auto"/>
        <w:jc w:val="both"/>
        <w:rPr>
          <w:rFonts w:ascii="Times New Roman" w:hAnsi="Times New Roman" w:cs="Times New Roman"/>
          <w:sz w:val="24"/>
          <w:szCs w:val="24"/>
        </w:rPr>
      </w:pPr>
      <w:r w:rsidRPr="00204CEA">
        <w:rPr>
          <w:rFonts w:ascii="Times New Roman" w:hAnsi="Times New Roman" w:cs="Times New Roman"/>
          <w:sz w:val="24"/>
          <w:szCs w:val="24"/>
        </w:rPr>
        <w:t>Activos financieros en mora y deteriorados</w:t>
      </w:r>
    </w:p>
    <w:p w:rsidR="002F1422" w:rsidRPr="00204CEA" w:rsidRDefault="002F1422" w:rsidP="00801D62">
      <w:pPr>
        <w:pStyle w:val="Prrafodelista"/>
        <w:numPr>
          <w:ilvl w:val="0"/>
          <w:numId w:val="41"/>
        </w:numPr>
        <w:spacing w:line="360" w:lineRule="auto"/>
        <w:jc w:val="both"/>
        <w:rPr>
          <w:rFonts w:ascii="Times New Roman" w:hAnsi="Times New Roman" w:cs="Times New Roman"/>
          <w:sz w:val="24"/>
          <w:szCs w:val="24"/>
        </w:rPr>
      </w:pPr>
      <w:r w:rsidRPr="00204CEA">
        <w:rPr>
          <w:rFonts w:ascii="Times New Roman" w:hAnsi="Times New Roman" w:cs="Times New Roman"/>
          <w:sz w:val="24"/>
          <w:szCs w:val="24"/>
        </w:rPr>
        <w:t>Realización de garantías y de otras mejoras crediticias</w:t>
      </w:r>
    </w:p>
    <w:p w:rsidR="002F1422" w:rsidRPr="00204CEA" w:rsidRDefault="002F1422" w:rsidP="00801D62">
      <w:pPr>
        <w:pStyle w:val="Prrafodelista"/>
        <w:numPr>
          <w:ilvl w:val="0"/>
          <w:numId w:val="41"/>
        </w:numPr>
        <w:spacing w:line="360" w:lineRule="auto"/>
        <w:jc w:val="both"/>
        <w:rPr>
          <w:rFonts w:ascii="Times New Roman" w:hAnsi="Times New Roman" w:cs="Times New Roman"/>
          <w:sz w:val="24"/>
          <w:szCs w:val="24"/>
        </w:rPr>
      </w:pPr>
      <w:r w:rsidRPr="00204CEA">
        <w:rPr>
          <w:rFonts w:ascii="Times New Roman" w:hAnsi="Times New Roman" w:cs="Times New Roman"/>
          <w:sz w:val="24"/>
          <w:szCs w:val="24"/>
        </w:rPr>
        <w:t>Riesgo de liquidez</w:t>
      </w:r>
    </w:p>
    <w:p w:rsidR="002F1422" w:rsidRPr="00204CEA" w:rsidRDefault="002F1422" w:rsidP="00801D62">
      <w:pPr>
        <w:pStyle w:val="Prrafodelista"/>
        <w:numPr>
          <w:ilvl w:val="0"/>
          <w:numId w:val="41"/>
        </w:numPr>
        <w:spacing w:line="360" w:lineRule="auto"/>
        <w:jc w:val="both"/>
        <w:rPr>
          <w:rFonts w:ascii="Times New Roman" w:hAnsi="Times New Roman" w:cs="Times New Roman"/>
          <w:sz w:val="24"/>
          <w:szCs w:val="24"/>
        </w:rPr>
      </w:pPr>
      <w:r w:rsidRPr="00204CEA">
        <w:rPr>
          <w:rFonts w:ascii="Times New Roman" w:hAnsi="Times New Roman" w:cs="Times New Roman"/>
          <w:sz w:val="24"/>
          <w:szCs w:val="24"/>
        </w:rPr>
        <w:t xml:space="preserve">Riesgo de mercado </w:t>
      </w:r>
    </w:p>
    <w:p w:rsidR="002F1422" w:rsidRPr="00204CEA" w:rsidRDefault="002F1422" w:rsidP="00801D62">
      <w:pPr>
        <w:pStyle w:val="Prrafodelista"/>
        <w:numPr>
          <w:ilvl w:val="0"/>
          <w:numId w:val="41"/>
        </w:numPr>
        <w:spacing w:line="360" w:lineRule="auto"/>
        <w:jc w:val="both"/>
        <w:rPr>
          <w:rFonts w:ascii="Times New Roman" w:hAnsi="Times New Roman" w:cs="Times New Roman"/>
          <w:sz w:val="24"/>
          <w:szCs w:val="24"/>
        </w:rPr>
      </w:pPr>
      <w:r w:rsidRPr="00204CEA">
        <w:rPr>
          <w:rFonts w:ascii="Times New Roman" w:hAnsi="Times New Roman" w:cs="Times New Roman"/>
          <w:sz w:val="24"/>
          <w:szCs w:val="24"/>
        </w:rPr>
        <w:t>Análisis de sensibilidad</w:t>
      </w:r>
    </w:p>
    <w:p w:rsidR="002F1422" w:rsidRPr="00204CEA" w:rsidRDefault="002F1422" w:rsidP="00801D62">
      <w:pPr>
        <w:pStyle w:val="Prrafodelista"/>
        <w:numPr>
          <w:ilvl w:val="0"/>
          <w:numId w:val="41"/>
        </w:numPr>
        <w:spacing w:line="360" w:lineRule="auto"/>
        <w:jc w:val="both"/>
        <w:rPr>
          <w:rFonts w:ascii="Times New Roman" w:hAnsi="Times New Roman" w:cs="Times New Roman"/>
          <w:sz w:val="24"/>
          <w:szCs w:val="24"/>
        </w:rPr>
      </w:pPr>
      <w:r w:rsidRPr="00204CEA">
        <w:rPr>
          <w:rFonts w:ascii="Times New Roman" w:hAnsi="Times New Roman" w:cs="Times New Roman"/>
          <w:sz w:val="24"/>
          <w:szCs w:val="24"/>
        </w:rPr>
        <w:lastRenderedPageBreak/>
        <w:t>Otras revelaciones de información sobre del riesgo del mercado</w:t>
      </w:r>
    </w:p>
    <w:p w:rsidR="002F1422" w:rsidRPr="00204CEA" w:rsidRDefault="001F6189" w:rsidP="00801D62">
      <w:pPr>
        <w:spacing w:line="360" w:lineRule="auto"/>
        <w:jc w:val="both"/>
        <w:rPr>
          <w:rFonts w:ascii="Times New Roman" w:hAnsi="Times New Roman" w:cs="Times New Roman"/>
          <w:b/>
          <w:sz w:val="24"/>
          <w:szCs w:val="24"/>
        </w:rPr>
      </w:pPr>
      <w:r w:rsidRPr="00204CEA">
        <w:rPr>
          <w:rFonts w:ascii="Times New Roman" w:hAnsi="Times New Roman" w:cs="Times New Roman"/>
          <w:b/>
          <w:sz w:val="24"/>
          <w:szCs w:val="24"/>
        </w:rPr>
        <w:t>FECHA DE VIGENCIA</w:t>
      </w:r>
    </w:p>
    <w:p w:rsidR="001F6189" w:rsidRPr="00204CEA" w:rsidRDefault="001F6189" w:rsidP="00801D62">
      <w:pPr>
        <w:spacing w:line="360" w:lineRule="auto"/>
        <w:jc w:val="both"/>
        <w:rPr>
          <w:rFonts w:ascii="Times New Roman" w:hAnsi="Times New Roman" w:cs="Times New Roman"/>
          <w:sz w:val="24"/>
          <w:szCs w:val="24"/>
        </w:rPr>
      </w:pPr>
      <w:r w:rsidRPr="00204CEA">
        <w:rPr>
          <w:rFonts w:ascii="Times New Roman" w:hAnsi="Times New Roman" w:cs="Times New Roman"/>
          <w:sz w:val="24"/>
          <w:szCs w:val="24"/>
        </w:rPr>
        <w:t>La entidad aplicará ésta NIIF en los ejercicios anuales que comiencen a partir del 1 de enero de 2007.</w:t>
      </w:r>
    </w:p>
    <w:p w:rsidR="001F6189" w:rsidRPr="00204CEA" w:rsidRDefault="001F6189" w:rsidP="00801D62">
      <w:pPr>
        <w:spacing w:line="360" w:lineRule="auto"/>
        <w:jc w:val="both"/>
        <w:rPr>
          <w:rFonts w:ascii="Times New Roman" w:hAnsi="Times New Roman" w:cs="Times New Roman"/>
          <w:b/>
          <w:color w:val="0070C0"/>
          <w:sz w:val="28"/>
          <w:szCs w:val="24"/>
        </w:rPr>
      </w:pPr>
      <w:r w:rsidRPr="00204CEA">
        <w:rPr>
          <w:rFonts w:ascii="Times New Roman" w:hAnsi="Times New Roman" w:cs="Times New Roman"/>
          <w:b/>
          <w:color w:val="0070C0"/>
          <w:sz w:val="28"/>
          <w:szCs w:val="24"/>
        </w:rPr>
        <w:t>NIIF N°8. SEGMENTOS DE OPERACIÓN.</w:t>
      </w:r>
    </w:p>
    <w:p w:rsidR="001F6189" w:rsidRPr="00204CEA" w:rsidRDefault="001F6189" w:rsidP="00801D62">
      <w:pPr>
        <w:pStyle w:val="Ttulo2"/>
        <w:spacing w:line="360" w:lineRule="auto"/>
        <w:jc w:val="both"/>
        <w:rPr>
          <w:sz w:val="24"/>
          <w:szCs w:val="24"/>
        </w:rPr>
      </w:pPr>
      <w:r w:rsidRPr="00204CEA">
        <w:rPr>
          <w:rStyle w:val="cufon-alt"/>
          <w:sz w:val="24"/>
          <w:szCs w:val="24"/>
        </w:rPr>
        <w:t>PRINCIPIO FUNDAMENTAL</w:t>
      </w:r>
    </w:p>
    <w:p w:rsidR="001F6189" w:rsidRPr="00204CEA" w:rsidRDefault="001F6189" w:rsidP="00801D62">
      <w:pPr>
        <w:pStyle w:val="NormalWeb"/>
        <w:spacing w:line="360" w:lineRule="auto"/>
        <w:jc w:val="both"/>
      </w:pPr>
      <w:r w:rsidRPr="00204CEA">
        <w:t>Toda entidad debe presentar información que permita a los usuarios de sus estados financieros evaluar la naturaleza y las repercusiones financieras de las actividades empresariales que desarrolla y los entornos económicos en los que opera.</w:t>
      </w:r>
    </w:p>
    <w:p w:rsidR="001F6189" w:rsidRPr="00204CEA" w:rsidRDefault="001F6189" w:rsidP="00801D62">
      <w:pPr>
        <w:pStyle w:val="Ttulo2"/>
        <w:spacing w:line="360" w:lineRule="auto"/>
        <w:jc w:val="both"/>
        <w:rPr>
          <w:sz w:val="24"/>
          <w:szCs w:val="24"/>
        </w:rPr>
      </w:pPr>
      <w:r w:rsidRPr="00204CEA">
        <w:rPr>
          <w:rStyle w:val="cufon-alt"/>
          <w:sz w:val="24"/>
          <w:szCs w:val="24"/>
        </w:rPr>
        <w:t>ALCANCE</w:t>
      </w:r>
    </w:p>
    <w:p w:rsidR="001F6189" w:rsidRPr="00204CEA" w:rsidRDefault="001F6189" w:rsidP="00801D62">
      <w:pPr>
        <w:pStyle w:val="NormalWeb"/>
        <w:spacing w:line="360" w:lineRule="auto"/>
        <w:jc w:val="both"/>
      </w:pPr>
      <w:r w:rsidRPr="00204CEA">
        <w:t>La presente NIIF se aplicará:</w:t>
      </w:r>
    </w:p>
    <w:p w:rsidR="001F6189" w:rsidRPr="00204CEA" w:rsidRDefault="001F6189" w:rsidP="00801D62">
      <w:pPr>
        <w:pStyle w:val="NormalWeb"/>
        <w:numPr>
          <w:ilvl w:val="0"/>
          <w:numId w:val="42"/>
        </w:numPr>
        <w:spacing w:line="360" w:lineRule="auto"/>
        <w:jc w:val="both"/>
      </w:pPr>
      <w:r w:rsidRPr="00204CEA">
        <w:t>a los estados financieros separados o individuales de una entidad:</w:t>
      </w:r>
    </w:p>
    <w:p w:rsidR="001F6189" w:rsidRPr="00204CEA" w:rsidRDefault="001F6189" w:rsidP="00801D62">
      <w:pPr>
        <w:pStyle w:val="NormalWeb"/>
        <w:numPr>
          <w:ilvl w:val="0"/>
          <w:numId w:val="43"/>
        </w:numPr>
        <w:spacing w:line="360" w:lineRule="auto"/>
        <w:jc w:val="both"/>
      </w:pPr>
      <w:r w:rsidRPr="00204CEA">
        <w:t xml:space="preserve">cuyos instrumentos de deuda o de patrimonio se negocien en un mercado público (bolsa de valores nacional o extranjera o mercado no organizado, incluidos los mercados locales y regionales), o </w:t>
      </w:r>
    </w:p>
    <w:p w:rsidR="001F6189" w:rsidRPr="00204CEA" w:rsidRDefault="001F6189" w:rsidP="00801D62">
      <w:pPr>
        <w:pStyle w:val="NormalWeb"/>
        <w:numPr>
          <w:ilvl w:val="0"/>
          <w:numId w:val="43"/>
        </w:numPr>
        <w:spacing w:line="360" w:lineRule="auto"/>
        <w:jc w:val="both"/>
      </w:pPr>
      <w:r w:rsidRPr="00204CEA">
        <w:t xml:space="preserve"> que registre, o esté en procedo de registrar, sus estados financieros en una comisión de valores u otra organización reguladora, con el fin de emitir instrumentos de cualquier clase en un mercado público; y</w:t>
      </w:r>
    </w:p>
    <w:p w:rsidR="001F6189" w:rsidRPr="00204CEA" w:rsidRDefault="001F6189" w:rsidP="00801D62">
      <w:pPr>
        <w:pStyle w:val="NormalWeb"/>
        <w:numPr>
          <w:ilvl w:val="0"/>
          <w:numId w:val="42"/>
        </w:numPr>
        <w:spacing w:line="360" w:lineRule="auto"/>
        <w:jc w:val="both"/>
      </w:pPr>
      <w:r w:rsidRPr="00204CEA">
        <w:t>a los estados financieros consolidados de un grupo con una dominante:</w:t>
      </w:r>
    </w:p>
    <w:p w:rsidR="001F6189" w:rsidRPr="00204CEA" w:rsidRDefault="001F6189" w:rsidP="00801D62">
      <w:pPr>
        <w:pStyle w:val="NormalWeb"/>
        <w:numPr>
          <w:ilvl w:val="0"/>
          <w:numId w:val="44"/>
        </w:numPr>
        <w:spacing w:line="360" w:lineRule="auto"/>
        <w:jc w:val="both"/>
      </w:pPr>
      <w:r w:rsidRPr="00204CEA">
        <w:t xml:space="preserve">cuyos instrumentos de deuda o de patrimonio se negocien en un mercado público (bolsa de valores nacional o extranjera o mercado no organizado, incluidos los mercados locales y regionales), o </w:t>
      </w:r>
    </w:p>
    <w:p w:rsidR="001F6189" w:rsidRPr="00204CEA" w:rsidRDefault="001F6189" w:rsidP="00801D62">
      <w:pPr>
        <w:pStyle w:val="NormalWeb"/>
        <w:numPr>
          <w:ilvl w:val="0"/>
          <w:numId w:val="44"/>
        </w:numPr>
        <w:spacing w:line="360" w:lineRule="auto"/>
        <w:jc w:val="both"/>
      </w:pPr>
      <w:r w:rsidRPr="00204CEA">
        <w:lastRenderedPageBreak/>
        <w:t>que registre, o esté en procedo de registrar, sus estados financieros en una comisión de valores u otra organización reguladora, con el fin de emitir instrumentos de cualquier clase en un mercado público.</w:t>
      </w:r>
    </w:p>
    <w:p w:rsidR="001F6189" w:rsidRPr="00204CEA" w:rsidRDefault="001F6189" w:rsidP="00801D62">
      <w:pPr>
        <w:pStyle w:val="NormalWeb"/>
        <w:numPr>
          <w:ilvl w:val="0"/>
          <w:numId w:val="45"/>
        </w:numPr>
        <w:spacing w:line="360" w:lineRule="auto"/>
        <w:jc w:val="both"/>
      </w:pPr>
      <w:r w:rsidRPr="00204CEA">
        <w:t>Si una entidad a la que no se exige el cumplimiento de la presente NIIF opta por revelar información por segmentos que no se atenga a la presente NIIF, no deberá designar la información como información por segmentos.</w:t>
      </w:r>
    </w:p>
    <w:p w:rsidR="001F6189" w:rsidRPr="00204CEA" w:rsidRDefault="001F6189" w:rsidP="00801D62">
      <w:pPr>
        <w:pStyle w:val="NormalWeb"/>
        <w:numPr>
          <w:ilvl w:val="0"/>
          <w:numId w:val="45"/>
        </w:numPr>
        <w:spacing w:line="360" w:lineRule="auto"/>
        <w:jc w:val="both"/>
      </w:pPr>
      <w:r w:rsidRPr="00204CEA">
        <w:t>Si un informe financiero contiene tanto los estados financieros consolidados de una dominante a la que es de aplicación la presente NIIF, como los estados financieros separados de la misma, sólo se requerirá información por segmentos en los estados financieros consolidados.</w:t>
      </w:r>
    </w:p>
    <w:p w:rsidR="001F6189" w:rsidRPr="00204CEA" w:rsidRDefault="001F6189" w:rsidP="00801D62">
      <w:pPr>
        <w:pStyle w:val="Ttulo2"/>
        <w:spacing w:line="360" w:lineRule="auto"/>
        <w:jc w:val="both"/>
        <w:rPr>
          <w:rStyle w:val="cufon-alt"/>
          <w:sz w:val="24"/>
          <w:szCs w:val="24"/>
        </w:rPr>
      </w:pPr>
    </w:p>
    <w:p w:rsidR="001F6189" w:rsidRPr="00204CEA" w:rsidRDefault="001F6189" w:rsidP="00801D62">
      <w:pPr>
        <w:pStyle w:val="Ttulo2"/>
        <w:spacing w:line="360" w:lineRule="auto"/>
        <w:jc w:val="both"/>
        <w:rPr>
          <w:sz w:val="24"/>
          <w:szCs w:val="24"/>
        </w:rPr>
      </w:pPr>
      <w:r w:rsidRPr="00204CEA">
        <w:rPr>
          <w:rStyle w:val="cufon-alt"/>
          <w:sz w:val="24"/>
          <w:szCs w:val="24"/>
        </w:rPr>
        <w:t>SEGMENTOS OPERATIVOS</w:t>
      </w:r>
    </w:p>
    <w:p w:rsidR="001F6189" w:rsidRPr="00204CEA" w:rsidRDefault="001F6189" w:rsidP="00801D62">
      <w:pPr>
        <w:pStyle w:val="NormalWeb"/>
        <w:spacing w:line="360" w:lineRule="auto"/>
        <w:jc w:val="both"/>
      </w:pPr>
      <w:r w:rsidRPr="00204CEA">
        <w:t>Un segmento operativo es un componente de una entidad:</w:t>
      </w:r>
    </w:p>
    <w:p w:rsidR="001F6189" w:rsidRPr="00204CEA" w:rsidRDefault="001F6189" w:rsidP="00801D62">
      <w:pPr>
        <w:pStyle w:val="NormalWeb"/>
        <w:numPr>
          <w:ilvl w:val="0"/>
          <w:numId w:val="46"/>
        </w:numPr>
        <w:spacing w:line="360" w:lineRule="auto"/>
        <w:jc w:val="both"/>
      </w:pPr>
      <w:r w:rsidRPr="00204CEA">
        <w:t xml:space="preserve">que desarrolla actividades empresariales que pueden reportarle ingresos y ocasionarle gastos (incluidos los ingresos y gastos relativos a transacciones con otros componentes de la misma entidad); </w:t>
      </w:r>
    </w:p>
    <w:p w:rsidR="001F6189" w:rsidRPr="00204CEA" w:rsidRDefault="001F6189" w:rsidP="00801D62">
      <w:pPr>
        <w:pStyle w:val="NormalWeb"/>
        <w:numPr>
          <w:ilvl w:val="0"/>
          <w:numId w:val="46"/>
        </w:numPr>
        <w:spacing w:line="360" w:lineRule="auto"/>
        <w:jc w:val="both"/>
      </w:pPr>
      <w:r w:rsidRPr="00204CEA">
        <w:t xml:space="preserve">cuyos resultados de explotación son examinados a intervalos regulares por la máxima instancia de toma de decisiones operativas de la entidad con objeto de decidir sobre los recursos que deben asignarse al segmento y evaluar su rendimiento; y </w:t>
      </w:r>
    </w:p>
    <w:p w:rsidR="001F6189" w:rsidRPr="00204CEA" w:rsidRDefault="001F6189" w:rsidP="00801D62">
      <w:pPr>
        <w:pStyle w:val="NormalWeb"/>
        <w:numPr>
          <w:ilvl w:val="0"/>
          <w:numId w:val="46"/>
        </w:numPr>
        <w:spacing w:line="360" w:lineRule="auto"/>
        <w:jc w:val="both"/>
      </w:pPr>
      <w:r w:rsidRPr="00204CEA">
        <w:t>en relación con el cual se dispone de información financiera diferenciada.</w:t>
      </w:r>
    </w:p>
    <w:p w:rsidR="001F6189" w:rsidRPr="00204CEA" w:rsidRDefault="001F6189" w:rsidP="00801D62">
      <w:pPr>
        <w:pStyle w:val="NormalWeb"/>
        <w:numPr>
          <w:ilvl w:val="0"/>
          <w:numId w:val="47"/>
        </w:numPr>
        <w:spacing w:line="360" w:lineRule="auto"/>
        <w:jc w:val="both"/>
      </w:pPr>
      <w:r w:rsidRPr="00204CEA">
        <w:t>Un segmento operativo podrá desarrollar actividades empresariales que aún no le reporten ingresos; por ejemplo, las empresas de nueva creación podrán ser segmentos operativos antes de obtener ingresos.</w:t>
      </w:r>
    </w:p>
    <w:p w:rsidR="001F6189" w:rsidRPr="00204CEA" w:rsidRDefault="001F6189" w:rsidP="00801D62">
      <w:pPr>
        <w:pStyle w:val="NormalWeb"/>
        <w:numPr>
          <w:ilvl w:val="0"/>
          <w:numId w:val="47"/>
        </w:numPr>
        <w:spacing w:line="360" w:lineRule="auto"/>
        <w:jc w:val="both"/>
      </w:pPr>
      <w:r w:rsidRPr="00204CEA">
        <w:t xml:space="preserve">Todas las partes de una entidad no son necesariamente segmentos operativos o parte de un segmento operativo. Por ejemplo, es posible que la sede social o algunos departamentos funcionales no obtengan ingresos u obtengan ingresos de carácter </w:t>
      </w:r>
      <w:r w:rsidRPr="00204CEA">
        <w:lastRenderedPageBreak/>
        <w:t>meramente accesorio a las actividades de la entidad, en cuyo caso no serían segmentos operativos. A efectos de la presente NIIF, los planes de prestaciones post-empleo de una entidad no son segmentos operativos.</w:t>
      </w:r>
    </w:p>
    <w:p w:rsidR="001F6189" w:rsidRPr="00204CEA" w:rsidRDefault="001F6189" w:rsidP="00801D62">
      <w:pPr>
        <w:spacing w:line="360" w:lineRule="auto"/>
        <w:jc w:val="both"/>
        <w:rPr>
          <w:rFonts w:ascii="Times New Roman" w:hAnsi="Times New Roman" w:cs="Times New Roman"/>
          <w:b/>
          <w:sz w:val="24"/>
          <w:szCs w:val="24"/>
        </w:rPr>
      </w:pPr>
      <w:r w:rsidRPr="00204CEA">
        <w:rPr>
          <w:rFonts w:ascii="Times New Roman" w:hAnsi="Times New Roman" w:cs="Times New Roman"/>
          <w:b/>
          <w:sz w:val="24"/>
          <w:szCs w:val="24"/>
        </w:rPr>
        <w:t>INFORMACIÓN A REVELAR SOBRE LA ENTIDAD EN SU CONJUNTO</w:t>
      </w:r>
    </w:p>
    <w:p w:rsidR="001F6189" w:rsidRPr="00204CEA" w:rsidRDefault="001F6189" w:rsidP="00801D62">
      <w:pPr>
        <w:pStyle w:val="Prrafodelista"/>
        <w:numPr>
          <w:ilvl w:val="0"/>
          <w:numId w:val="48"/>
        </w:numPr>
        <w:spacing w:line="360" w:lineRule="auto"/>
        <w:jc w:val="both"/>
        <w:rPr>
          <w:rFonts w:ascii="Times New Roman" w:hAnsi="Times New Roman" w:cs="Times New Roman"/>
          <w:b/>
          <w:sz w:val="24"/>
          <w:szCs w:val="24"/>
        </w:rPr>
      </w:pPr>
      <w:r w:rsidRPr="00204CEA">
        <w:rPr>
          <w:rFonts w:ascii="Times New Roman" w:hAnsi="Times New Roman" w:cs="Times New Roman"/>
          <w:sz w:val="24"/>
          <w:szCs w:val="24"/>
        </w:rPr>
        <w:t>Información sobre productos y servicios</w:t>
      </w:r>
    </w:p>
    <w:p w:rsidR="001F6189" w:rsidRPr="00204CEA" w:rsidRDefault="001F6189" w:rsidP="00801D62">
      <w:pPr>
        <w:pStyle w:val="Prrafodelista"/>
        <w:numPr>
          <w:ilvl w:val="0"/>
          <w:numId w:val="48"/>
        </w:numPr>
        <w:spacing w:line="360" w:lineRule="auto"/>
        <w:jc w:val="both"/>
        <w:rPr>
          <w:rFonts w:ascii="Times New Roman" w:hAnsi="Times New Roman" w:cs="Times New Roman"/>
          <w:b/>
          <w:sz w:val="24"/>
          <w:szCs w:val="24"/>
        </w:rPr>
      </w:pPr>
      <w:r w:rsidRPr="00204CEA">
        <w:rPr>
          <w:rFonts w:ascii="Times New Roman" w:hAnsi="Times New Roman" w:cs="Times New Roman"/>
          <w:sz w:val="24"/>
          <w:szCs w:val="24"/>
        </w:rPr>
        <w:t>Información sobre áreas geográficas</w:t>
      </w:r>
    </w:p>
    <w:p w:rsidR="001F6189" w:rsidRPr="00204CEA" w:rsidRDefault="001F6189" w:rsidP="00801D62">
      <w:pPr>
        <w:pStyle w:val="Prrafodelista"/>
        <w:numPr>
          <w:ilvl w:val="0"/>
          <w:numId w:val="48"/>
        </w:numPr>
        <w:spacing w:line="360" w:lineRule="auto"/>
        <w:jc w:val="both"/>
        <w:rPr>
          <w:rFonts w:ascii="Times New Roman" w:hAnsi="Times New Roman" w:cs="Times New Roman"/>
          <w:b/>
          <w:sz w:val="24"/>
          <w:szCs w:val="24"/>
        </w:rPr>
      </w:pPr>
      <w:r w:rsidRPr="00204CEA">
        <w:rPr>
          <w:rFonts w:ascii="Times New Roman" w:hAnsi="Times New Roman" w:cs="Times New Roman"/>
          <w:sz w:val="24"/>
          <w:szCs w:val="24"/>
        </w:rPr>
        <w:t>Información sobre los principales clientes</w:t>
      </w:r>
    </w:p>
    <w:p w:rsidR="001F6189" w:rsidRPr="00204CEA" w:rsidRDefault="00CB59DB" w:rsidP="00801D62">
      <w:pPr>
        <w:spacing w:line="360" w:lineRule="auto"/>
        <w:jc w:val="both"/>
        <w:rPr>
          <w:rFonts w:ascii="Times New Roman" w:hAnsi="Times New Roman" w:cs="Times New Roman"/>
          <w:b/>
          <w:sz w:val="24"/>
          <w:szCs w:val="24"/>
        </w:rPr>
      </w:pPr>
      <w:r w:rsidRPr="00204CEA">
        <w:rPr>
          <w:rFonts w:ascii="Times New Roman" w:hAnsi="Times New Roman" w:cs="Times New Roman"/>
          <w:b/>
          <w:sz w:val="24"/>
          <w:szCs w:val="24"/>
        </w:rPr>
        <w:t>FECHA DE VIGENCIA</w:t>
      </w:r>
    </w:p>
    <w:p w:rsidR="000F29AC" w:rsidRPr="00C2325A" w:rsidRDefault="00CB59DB" w:rsidP="00801D62">
      <w:pPr>
        <w:spacing w:line="360" w:lineRule="auto"/>
        <w:jc w:val="both"/>
        <w:rPr>
          <w:rFonts w:ascii="Times New Roman" w:hAnsi="Times New Roman" w:cs="Times New Roman"/>
          <w:sz w:val="24"/>
          <w:szCs w:val="24"/>
        </w:rPr>
      </w:pPr>
      <w:r w:rsidRPr="00204CEA">
        <w:rPr>
          <w:rFonts w:ascii="Times New Roman" w:hAnsi="Times New Roman" w:cs="Times New Roman"/>
          <w:sz w:val="24"/>
          <w:szCs w:val="24"/>
        </w:rPr>
        <w:t>La entidad aplicará esta NIIF en los ejercicios anuales que comiencen a partir del 1 de enero de 2009.</w:t>
      </w:r>
      <w:r w:rsidR="00204CEA">
        <w:rPr>
          <w:rFonts w:ascii="Times New Roman" w:hAnsi="Times New Roman" w:cs="Times New Roman"/>
          <w:sz w:val="24"/>
          <w:szCs w:val="24"/>
        </w:rPr>
        <w:t>”</w:t>
      </w:r>
      <w:sdt>
        <w:sdtPr>
          <w:rPr>
            <w:rFonts w:ascii="Times New Roman" w:hAnsi="Times New Roman" w:cs="Times New Roman"/>
            <w:sz w:val="24"/>
            <w:szCs w:val="24"/>
          </w:rPr>
          <w:id w:val="229199724"/>
          <w:citation/>
        </w:sdtPr>
        <w:sdtContent>
          <w:r w:rsidR="00204CEA">
            <w:rPr>
              <w:rFonts w:ascii="Times New Roman" w:hAnsi="Times New Roman" w:cs="Times New Roman"/>
              <w:sz w:val="24"/>
              <w:szCs w:val="24"/>
            </w:rPr>
            <w:fldChar w:fldCharType="begin"/>
          </w:r>
          <w:r w:rsidR="00204CEA">
            <w:rPr>
              <w:rFonts w:ascii="Times New Roman" w:hAnsi="Times New Roman" w:cs="Times New Roman"/>
              <w:sz w:val="24"/>
              <w:szCs w:val="24"/>
            </w:rPr>
            <w:instrText xml:space="preserve"> CITATION Bra11 \l 12298 </w:instrText>
          </w:r>
          <w:r w:rsidR="00204CEA">
            <w:rPr>
              <w:rFonts w:ascii="Times New Roman" w:hAnsi="Times New Roman" w:cs="Times New Roman"/>
              <w:sz w:val="24"/>
              <w:szCs w:val="24"/>
            </w:rPr>
            <w:fldChar w:fldCharType="separate"/>
          </w:r>
          <w:r w:rsidR="00204CEA">
            <w:rPr>
              <w:rFonts w:ascii="Times New Roman" w:hAnsi="Times New Roman" w:cs="Times New Roman"/>
              <w:noProof/>
              <w:sz w:val="24"/>
              <w:szCs w:val="24"/>
            </w:rPr>
            <w:t xml:space="preserve"> </w:t>
          </w:r>
          <w:r w:rsidR="00204CEA" w:rsidRPr="00204CEA">
            <w:rPr>
              <w:rFonts w:ascii="Times New Roman" w:hAnsi="Times New Roman" w:cs="Times New Roman"/>
              <w:noProof/>
              <w:sz w:val="24"/>
              <w:szCs w:val="24"/>
            </w:rPr>
            <w:t>(Bravo Valdivieso, 2011)</w:t>
          </w:r>
          <w:r w:rsidR="00204CEA">
            <w:rPr>
              <w:rFonts w:ascii="Times New Roman" w:hAnsi="Times New Roman" w:cs="Times New Roman"/>
              <w:sz w:val="24"/>
              <w:szCs w:val="24"/>
            </w:rPr>
            <w:fldChar w:fldCharType="end"/>
          </w:r>
        </w:sdtContent>
      </w:sdt>
    </w:p>
    <w:p w:rsidR="005A63C5" w:rsidRDefault="005A63C5" w:rsidP="00801D62">
      <w:pPr>
        <w:spacing w:line="360" w:lineRule="auto"/>
        <w:jc w:val="center"/>
        <w:rPr>
          <w:rFonts w:ascii="Times New Roman" w:hAnsi="Times New Roman" w:cs="Times New Roman"/>
          <w:b/>
          <w:sz w:val="28"/>
        </w:rPr>
      </w:pPr>
      <w:r>
        <w:rPr>
          <w:rFonts w:ascii="Times New Roman" w:hAnsi="Times New Roman" w:cs="Times New Roman"/>
          <w:b/>
          <w:sz w:val="28"/>
        </w:rPr>
        <w:t>PRINCIPIOS DE LOS ESTADOS FINANCIEROS</w:t>
      </w:r>
    </w:p>
    <w:p w:rsidR="005A63C5" w:rsidRDefault="00B75CFD" w:rsidP="00801D62">
      <w:pPr>
        <w:spacing w:line="360" w:lineRule="auto"/>
        <w:jc w:val="both"/>
        <w:rPr>
          <w:rFonts w:ascii="Times New Roman" w:hAnsi="Times New Roman" w:cs="Times New Roman"/>
          <w:sz w:val="24"/>
        </w:rPr>
      </w:pPr>
      <w:r>
        <w:rPr>
          <w:rFonts w:ascii="Times New Roman" w:hAnsi="Times New Roman" w:cs="Times New Roman"/>
          <w:sz w:val="24"/>
        </w:rPr>
        <w:t>“</w:t>
      </w:r>
      <w:r w:rsidR="005A63C5">
        <w:rPr>
          <w:rFonts w:ascii="Times New Roman" w:hAnsi="Times New Roman" w:cs="Times New Roman"/>
          <w:sz w:val="24"/>
        </w:rPr>
        <w:t xml:space="preserve">Los principios contables básicos, generalmente aceptados, deben ser acogidos por la totalidad  de las empresas y contemplan las convenciones, normas y procedimientos con los que se fijan las prácticas contables desarrolladas con base en la experiencia, el criterio y la costumbre. </w:t>
      </w:r>
    </w:p>
    <w:p w:rsidR="00AA4917" w:rsidRDefault="005A63C5" w:rsidP="00801D62">
      <w:pPr>
        <w:spacing w:line="360" w:lineRule="auto"/>
        <w:jc w:val="both"/>
        <w:rPr>
          <w:rFonts w:ascii="Times New Roman" w:hAnsi="Times New Roman" w:cs="Times New Roman"/>
          <w:sz w:val="24"/>
        </w:rPr>
      </w:pPr>
      <w:r>
        <w:rPr>
          <w:rFonts w:ascii="Times New Roman" w:hAnsi="Times New Roman" w:cs="Times New Roman"/>
          <w:sz w:val="24"/>
        </w:rPr>
        <w:t>Estos son los principales principios</w:t>
      </w:r>
      <w:r w:rsidR="00AA4917">
        <w:rPr>
          <w:rFonts w:ascii="Times New Roman" w:hAnsi="Times New Roman" w:cs="Times New Roman"/>
          <w:sz w:val="24"/>
        </w:rPr>
        <w:t>:</w:t>
      </w:r>
    </w:p>
    <w:p w:rsidR="005A63C5" w:rsidRPr="00C2325A" w:rsidRDefault="00AA4917" w:rsidP="00801D62">
      <w:pPr>
        <w:pStyle w:val="Prrafodelista"/>
        <w:numPr>
          <w:ilvl w:val="0"/>
          <w:numId w:val="2"/>
        </w:numPr>
        <w:spacing w:line="360" w:lineRule="auto"/>
        <w:jc w:val="both"/>
        <w:rPr>
          <w:rFonts w:ascii="Times New Roman" w:hAnsi="Times New Roman" w:cs="Times New Roman"/>
          <w:b/>
          <w:color w:val="0070C0"/>
          <w:sz w:val="24"/>
        </w:rPr>
      </w:pPr>
      <w:r w:rsidRPr="00C2325A">
        <w:rPr>
          <w:rFonts w:ascii="Times New Roman" w:hAnsi="Times New Roman" w:cs="Times New Roman"/>
          <w:b/>
          <w:sz w:val="24"/>
        </w:rPr>
        <w:t>Los datos contables deben ser registrados en términos de dinero; para el caso ecuatoriano, en dólares</w:t>
      </w:r>
    </w:p>
    <w:p w:rsidR="00EF6EF7" w:rsidRDefault="00EF6EF7" w:rsidP="00801D62">
      <w:pPr>
        <w:spacing w:line="360" w:lineRule="auto"/>
        <w:jc w:val="both"/>
        <w:rPr>
          <w:rFonts w:ascii="Times New Roman" w:hAnsi="Times New Roman" w:cs="Times New Roman"/>
          <w:color w:val="C00000"/>
          <w:sz w:val="24"/>
        </w:rPr>
      </w:pPr>
      <w:r w:rsidRPr="00EF6EF7">
        <w:rPr>
          <w:rFonts w:ascii="Times New Roman" w:hAnsi="Times New Roman" w:cs="Times New Roman"/>
          <w:color w:val="C00000"/>
          <w:sz w:val="24"/>
        </w:rPr>
        <w:t>Ejemplos:</w:t>
      </w:r>
      <w:r>
        <w:rPr>
          <w:rFonts w:ascii="Times New Roman" w:hAnsi="Times New Roman" w:cs="Times New Roman"/>
          <w:color w:val="C00000"/>
          <w:sz w:val="24"/>
        </w:rPr>
        <w:t xml:space="preserve"> </w:t>
      </w:r>
    </w:p>
    <w:p w:rsidR="00EF6EF7" w:rsidRPr="00EF6EF7" w:rsidRDefault="00EF6EF7" w:rsidP="00801D62">
      <w:pPr>
        <w:pStyle w:val="Prrafodelista"/>
        <w:numPr>
          <w:ilvl w:val="0"/>
          <w:numId w:val="50"/>
        </w:numPr>
        <w:spacing w:line="360" w:lineRule="auto"/>
        <w:jc w:val="both"/>
        <w:rPr>
          <w:rFonts w:ascii="Times New Roman" w:hAnsi="Times New Roman" w:cs="Times New Roman"/>
          <w:color w:val="C00000"/>
          <w:sz w:val="24"/>
        </w:rPr>
      </w:pPr>
      <w:r>
        <w:rPr>
          <w:rFonts w:ascii="Times New Roman" w:hAnsi="Times New Roman" w:cs="Times New Roman"/>
          <w:sz w:val="24"/>
        </w:rPr>
        <w:t>Las vetas de los productos de la “Industria Lechera Carchi S.A” deben registrarse en la moneda de curso legal</w:t>
      </w:r>
    </w:p>
    <w:p w:rsidR="00EF6EF7" w:rsidRPr="00EF6EF7" w:rsidRDefault="00C2325A" w:rsidP="00801D62">
      <w:pPr>
        <w:pStyle w:val="Prrafodelista"/>
        <w:numPr>
          <w:ilvl w:val="0"/>
          <w:numId w:val="50"/>
        </w:numPr>
        <w:spacing w:line="360" w:lineRule="auto"/>
        <w:jc w:val="both"/>
        <w:rPr>
          <w:rFonts w:ascii="Times New Roman" w:hAnsi="Times New Roman" w:cs="Times New Roman"/>
          <w:color w:val="C00000"/>
          <w:sz w:val="24"/>
        </w:rPr>
      </w:pPr>
      <w:r>
        <w:rPr>
          <w:rFonts w:ascii="Times New Roman" w:hAnsi="Times New Roman" w:cs="Times New Roman"/>
          <w:sz w:val="24"/>
        </w:rPr>
        <w:t>Se compra materia prima por $567.00</w:t>
      </w:r>
    </w:p>
    <w:p w:rsidR="00AA4917" w:rsidRDefault="00AA4917" w:rsidP="00801D62">
      <w:pPr>
        <w:pStyle w:val="Prrafodelista"/>
        <w:spacing w:line="360" w:lineRule="auto"/>
        <w:ind w:left="1571"/>
        <w:jc w:val="both"/>
        <w:rPr>
          <w:rFonts w:ascii="Times New Roman" w:hAnsi="Times New Roman" w:cs="Times New Roman"/>
          <w:sz w:val="24"/>
        </w:rPr>
      </w:pPr>
    </w:p>
    <w:p w:rsidR="00AA4917" w:rsidRDefault="00AA4917" w:rsidP="00801D62">
      <w:pPr>
        <w:pStyle w:val="Prrafodelista"/>
        <w:numPr>
          <w:ilvl w:val="0"/>
          <w:numId w:val="2"/>
        </w:numPr>
        <w:spacing w:line="360" w:lineRule="auto"/>
        <w:jc w:val="both"/>
        <w:rPr>
          <w:rFonts w:ascii="Times New Roman" w:hAnsi="Times New Roman" w:cs="Times New Roman"/>
          <w:b/>
          <w:sz w:val="24"/>
        </w:rPr>
      </w:pPr>
      <w:r w:rsidRPr="00C2325A">
        <w:rPr>
          <w:rFonts w:ascii="Times New Roman" w:hAnsi="Times New Roman" w:cs="Times New Roman"/>
          <w:b/>
          <w:sz w:val="24"/>
        </w:rPr>
        <w:t>Toda transacción debe ser contabilizada por partida doble, esto es, sobre todo activo existen derechos de los socios y/o de los acreedores.</w:t>
      </w:r>
    </w:p>
    <w:p w:rsidR="00C2325A" w:rsidRDefault="00C2325A" w:rsidP="00801D62">
      <w:pPr>
        <w:pStyle w:val="Prrafodelista"/>
        <w:spacing w:line="360" w:lineRule="auto"/>
        <w:jc w:val="both"/>
        <w:rPr>
          <w:rFonts w:ascii="Times New Roman" w:hAnsi="Times New Roman" w:cs="Times New Roman"/>
          <w:b/>
          <w:sz w:val="24"/>
        </w:rPr>
      </w:pPr>
    </w:p>
    <w:p w:rsidR="00C2325A" w:rsidRDefault="00C2325A" w:rsidP="00801D62">
      <w:pPr>
        <w:spacing w:line="360" w:lineRule="auto"/>
        <w:jc w:val="both"/>
        <w:rPr>
          <w:rFonts w:ascii="Times New Roman" w:hAnsi="Times New Roman" w:cs="Times New Roman"/>
          <w:color w:val="C00000"/>
          <w:sz w:val="24"/>
        </w:rPr>
      </w:pPr>
      <w:r w:rsidRPr="00C2325A">
        <w:rPr>
          <w:rFonts w:ascii="Times New Roman" w:hAnsi="Times New Roman" w:cs="Times New Roman"/>
          <w:color w:val="C00000"/>
          <w:sz w:val="24"/>
        </w:rPr>
        <w:lastRenderedPageBreak/>
        <w:t xml:space="preserve">Ejemplos: </w:t>
      </w:r>
    </w:p>
    <w:p w:rsidR="00C2325A" w:rsidRPr="00C2325A" w:rsidRDefault="00C2325A" w:rsidP="00801D62">
      <w:pPr>
        <w:pStyle w:val="Prrafodelista"/>
        <w:numPr>
          <w:ilvl w:val="0"/>
          <w:numId w:val="51"/>
        </w:numPr>
        <w:spacing w:line="360" w:lineRule="auto"/>
        <w:jc w:val="both"/>
        <w:rPr>
          <w:rFonts w:ascii="Times New Roman" w:hAnsi="Times New Roman" w:cs="Times New Roman"/>
          <w:color w:val="C00000"/>
          <w:sz w:val="24"/>
        </w:rPr>
      </w:pPr>
      <w:r>
        <w:rPr>
          <w:rFonts w:ascii="Times New Roman" w:hAnsi="Times New Roman" w:cs="Times New Roman"/>
          <w:sz w:val="24"/>
        </w:rPr>
        <w:t>Se compra un vehículo por $33.000 se cancela en efectivo con factura # 45</w:t>
      </w:r>
    </w:p>
    <w:p w:rsidR="00C2325A" w:rsidRPr="00C2325A" w:rsidRDefault="00C2325A" w:rsidP="00801D62">
      <w:pPr>
        <w:pStyle w:val="Prrafodelista"/>
        <w:numPr>
          <w:ilvl w:val="0"/>
          <w:numId w:val="51"/>
        </w:numPr>
        <w:spacing w:line="360" w:lineRule="auto"/>
        <w:jc w:val="both"/>
        <w:rPr>
          <w:rFonts w:ascii="Times New Roman" w:hAnsi="Times New Roman" w:cs="Times New Roman"/>
          <w:color w:val="C00000"/>
          <w:sz w:val="24"/>
        </w:rPr>
      </w:pPr>
      <w:r>
        <w:rPr>
          <w:rFonts w:ascii="Times New Roman" w:hAnsi="Times New Roman" w:cs="Times New Roman"/>
          <w:sz w:val="24"/>
        </w:rPr>
        <w:t>Se vende una computadora por # 672.00 a crédito personal.</w:t>
      </w:r>
    </w:p>
    <w:p w:rsidR="00C2325A" w:rsidRPr="00C2325A" w:rsidRDefault="00C2325A" w:rsidP="00801D62">
      <w:pPr>
        <w:pStyle w:val="Prrafodelista"/>
        <w:spacing w:line="360" w:lineRule="auto"/>
        <w:jc w:val="both"/>
        <w:rPr>
          <w:rFonts w:ascii="Times New Roman" w:hAnsi="Times New Roman" w:cs="Times New Roman"/>
          <w:color w:val="C00000"/>
          <w:sz w:val="24"/>
        </w:rPr>
      </w:pPr>
    </w:p>
    <w:p w:rsidR="00AA4917" w:rsidRPr="00C2325A" w:rsidRDefault="00AA4917" w:rsidP="00801D62">
      <w:pPr>
        <w:pStyle w:val="Prrafodelista"/>
        <w:numPr>
          <w:ilvl w:val="0"/>
          <w:numId w:val="2"/>
        </w:numPr>
        <w:spacing w:line="360" w:lineRule="auto"/>
        <w:jc w:val="both"/>
        <w:rPr>
          <w:rFonts w:ascii="Times New Roman" w:hAnsi="Times New Roman" w:cs="Times New Roman"/>
          <w:b/>
          <w:sz w:val="24"/>
        </w:rPr>
      </w:pPr>
      <w:r w:rsidRPr="00C2325A">
        <w:rPr>
          <w:rFonts w:ascii="Times New Roman" w:hAnsi="Times New Roman" w:cs="Times New Roman"/>
          <w:b/>
          <w:sz w:val="24"/>
        </w:rPr>
        <w:t>La empresa es una entidad independiente de sus socios o propietarios, por lo cual las bases contables deben sujetarse a este principio.</w:t>
      </w:r>
    </w:p>
    <w:p w:rsidR="00C2325A" w:rsidRDefault="00C2325A" w:rsidP="00801D62">
      <w:pPr>
        <w:spacing w:line="360" w:lineRule="auto"/>
        <w:jc w:val="both"/>
        <w:rPr>
          <w:rFonts w:ascii="Times New Roman" w:hAnsi="Times New Roman" w:cs="Times New Roman"/>
          <w:color w:val="C00000"/>
          <w:sz w:val="24"/>
        </w:rPr>
      </w:pPr>
      <w:r w:rsidRPr="00C2325A">
        <w:rPr>
          <w:rFonts w:ascii="Times New Roman" w:hAnsi="Times New Roman" w:cs="Times New Roman"/>
          <w:color w:val="C00000"/>
          <w:sz w:val="24"/>
        </w:rPr>
        <w:t xml:space="preserve">Ejemplos: </w:t>
      </w:r>
    </w:p>
    <w:p w:rsidR="00C2325A" w:rsidRDefault="00C2325A" w:rsidP="00801D62">
      <w:pPr>
        <w:pStyle w:val="Prrafodelista"/>
        <w:numPr>
          <w:ilvl w:val="0"/>
          <w:numId w:val="52"/>
        </w:numPr>
        <w:spacing w:line="360" w:lineRule="auto"/>
        <w:jc w:val="both"/>
        <w:rPr>
          <w:rFonts w:ascii="Times New Roman" w:hAnsi="Times New Roman" w:cs="Times New Roman"/>
          <w:sz w:val="24"/>
        </w:rPr>
      </w:pPr>
      <w:r w:rsidRPr="00C2325A">
        <w:rPr>
          <w:rFonts w:ascii="Times New Roman" w:hAnsi="Times New Roman" w:cs="Times New Roman"/>
          <w:sz w:val="24"/>
        </w:rPr>
        <w:t>El gerente compra una laptop para uso personal</w:t>
      </w:r>
      <w:r>
        <w:rPr>
          <w:rFonts w:ascii="Times New Roman" w:hAnsi="Times New Roman" w:cs="Times New Roman"/>
          <w:sz w:val="24"/>
        </w:rPr>
        <w:t>, la misma que no debe registrarse en el libro contable de la empresa.</w:t>
      </w:r>
    </w:p>
    <w:p w:rsidR="00AA4917" w:rsidRDefault="00C2325A" w:rsidP="00801D62">
      <w:pPr>
        <w:pStyle w:val="Prrafodelista"/>
        <w:numPr>
          <w:ilvl w:val="0"/>
          <w:numId w:val="52"/>
        </w:numPr>
        <w:spacing w:line="360" w:lineRule="auto"/>
        <w:jc w:val="both"/>
        <w:rPr>
          <w:rFonts w:ascii="Times New Roman" w:hAnsi="Times New Roman" w:cs="Times New Roman"/>
          <w:sz w:val="24"/>
        </w:rPr>
      </w:pPr>
      <w:r>
        <w:rPr>
          <w:rFonts w:ascii="Times New Roman" w:hAnsi="Times New Roman" w:cs="Times New Roman"/>
          <w:sz w:val="24"/>
        </w:rPr>
        <w:t xml:space="preserve">La industria textil “ABC” realiza </w:t>
      </w:r>
      <w:proofErr w:type="gramStart"/>
      <w:r>
        <w:rPr>
          <w:rFonts w:ascii="Times New Roman" w:hAnsi="Times New Roman" w:cs="Times New Roman"/>
          <w:sz w:val="24"/>
        </w:rPr>
        <w:t>un</w:t>
      </w:r>
      <w:proofErr w:type="gramEnd"/>
      <w:r>
        <w:rPr>
          <w:rFonts w:ascii="Times New Roman" w:hAnsi="Times New Roman" w:cs="Times New Roman"/>
          <w:sz w:val="24"/>
        </w:rPr>
        <w:t xml:space="preserve"> compra de maquinaria, la misma que si debe ser registrada en el libro contable de la empresa, ya que esta compra se beneficia a la entidad.</w:t>
      </w:r>
    </w:p>
    <w:p w:rsidR="00C2325A" w:rsidRPr="00C2325A" w:rsidRDefault="00C2325A" w:rsidP="00801D62">
      <w:pPr>
        <w:pStyle w:val="Prrafodelista"/>
        <w:spacing w:line="360" w:lineRule="auto"/>
        <w:jc w:val="both"/>
        <w:rPr>
          <w:rFonts w:ascii="Times New Roman" w:hAnsi="Times New Roman" w:cs="Times New Roman"/>
          <w:sz w:val="24"/>
        </w:rPr>
      </w:pPr>
    </w:p>
    <w:p w:rsidR="00AA4917" w:rsidRDefault="00AA4917" w:rsidP="00801D62">
      <w:pPr>
        <w:pStyle w:val="Prrafodelista"/>
        <w:numPr>
          <w:ilvl w:val="0"/>
          <w:numId w:val="2"/>
        </w:numPr>
        <w:spacing w:line="360" w:lineRule="auto"/>
        <w:jc w:val="both"/>
        <w:rPr>
          <w:rFonts w:ascii="Times New Roman" w:hAnsi="Times New Roman" w:cs="Times New Roman"/>
          <w:b/>
          <w:sz w:val="24"/>
        </w:rPr>
      </w:pPr>
      <w:r w:rsidRPr="00C2325A">
        <w:rPr>
          <w:rFonts w:ascii="Times New Roman" w:hAnsi="Times New Roman" w:cs="Times New Roman"/>
          <w:b/>
          <w:sz w:val="24"/>
        </w:rPr>
        <w:t>Se debe partir del supuesto que los estados financieros son consistentes, es decir que se han empleado las mismas técnicas contables todos los años, de tal manera que puedan ser comparadas.</w:t>
      </w:r>
    </w:p>
    <w:p w:rsidR="00C2325A" w:rsidRDefault="00C2325A" w:rsidP="00801D62">
      <w:pPr>
        <w:spacing w:line="360" w:lineRule="auto"/>
        <w:jc w:val="both"/>
        <w:rPr>
          <w:rFonts w:ascii="Times New Roman" w:hAnsi="Times New Roman" w:cs="Times New Roman"/>
          <w:color w:val="C00000"/>
          <w:sz w:val="24"/>
        </w:rPr>
      </w:pPr>
      <w:r w:rsidRPr="00C2325A">
        <w:rPr>
          <w:rFonts w:ascii="Times New Roman" w:hAnsi="Times New Roman" w:cs="Times New Roman"/>
          <w:color w:val="C00000"/>
          <w:sz w:val="24"/>
        </w:rPr>
        <w:t xml:space="preserve">Ejemplos: </w:t>
      </w:r>
    </w:p>
    <w:p w:rsidR="00934067" w:rsidRPr="00934067" w:rsidRDefault="00934067" w:rsidP="00801D62">
      <w:pPr>
        <w:pStyle w:val="Prrafodelista"/>
        <w:numPr>
          <w:ilvl w:val="0"/>
          <w:numId w:val="53"/>
        </w:numPr>
        <w:spacing w:line="360" w:lineRule="auto"/>
        <w:jc w:val="both"/>
        <w:rPr>
          <w:rFonts w:ascii="Times New Roman" w:hAnsi="Times New Roman" w:cs="Times New Roman"/>
          <w:color w:val="C00000"/>
          <w:sz w:val="24"/>
        </w:rPr>
      </w:pPr>
      <w:r>
        <w:rPr>
          <w:rFonts w:ascii="Times New Roman" w:hAnsi="Times New Roman" w:cs="Times New Roman"/>
          <w:sz w:val="24"/>
        </w:rPr>
        <w:t>La empresa “XYZ” se rige bajo las normas y métodos contables por lo tanto debe continuar con el mismo proceso el siguiente año para facilitar la comprensión de los estados financieros</w:t>
      </w:r>
    </w:p>
    <w:p w:rsidR="00934067" w:rsidRPr="00934067" w:rsidRDefault="00934067" w:rsidP="00801D62">
      <w:pPr>
        <w:pStyle w:val="Prrafodelista"/>
        <w:numPr>
          <w:ilvl w:val="0"/>
          <w:numId w:val="53"/>
        </w:numPr>
        <w:spacing w:line="360" w:lineRule="auto"/>
        <w:jc w:val="both"/>
        <w:rPr>
          <w:rFonts w:ascii="Times New Roman" w:hAnsi="Times New Roman" w:cs="Times New Roman"/>
          <w:color w:val="C00000"/>
          <w:sz w:val="24"/>
        </w:rPr>
      </w:pPr>
      <w:r>
        <w:rPr>
          <w:rFonts w:ascii="Times New Roman" w:hAnsi="Times New Roman" w:cs="Times New Roman"/>
          <w:sz w:val="24"/>
        </w:rPr>
        <w:t xml:space="preserve">El comercial Segara utilizó </w:t>
      </w:r>
      <w:r>
        <w:rPr>
          <w:rStyle w:val="st"/>
        </w:rPr>
        <w:t>Método de valuación de inventarios mediante el cual se considera que lo que se vende es lo que primero entró al almacén</w:t>
      </w:r>
      <w:r>
        <w:rPr>
          <w:rFonts w:ascii="Times New Roman" w:hAnsi="Times New Roman" w:cs="Times New Roman"/>
          <w:sz w:val="24"/>
        </w:rPr>
        <w:t xml:space="preserve"> (PEPS) , el mismo método tendrá que utilizar el próximo año para poder realizar una comparación de la información financiera del almacén.</w:t>
      </w:r>
    </w:p>
    <w:p w:rsidR="00AA4917" w:rsidRPr="00934067" w:rsidRDefault="00AA4917" w:rsidP="00801D62">
      <w:pPr>
        <w:pStyle w:val="Prrafodelista"/>
        <w:spacing w:line="360" w:lineRule="auto"/>
        <w:jc w:val="both"/>
        <w:rPr>
          <w:rFonts w:ascii="Times New Roman" w:hAnsi="Times New Roman" w:cs="Times New Roman"/>
          <w:color w:val="C00000"/>
          <w:sz w:val="24"/>
        </w:rPr>
      </w:pPr>
    </w:p>
    <w:p w:rsidR="00AA4917" w:rsidRDefault="00A73ACC" w:rsidP="00801D62">
      <w:pPr>
        <w:pStyle w:val="Prrafodelista"/>
        <w:numPr>
          <w:ilvl w:val="0"/>
          <w:numId w:val="2"/>
        </w:numPr>
        <w:spacing w:line="360" w:lineRule="auto"/>
        <w:jc w:val="both"/>
        <w:rPr>
          <w:rFonts w:ascii="Times New Roman" w:hAnsi="Times New Roman" w:cs="Times New Roman"/>
          <w:b/>
          <w:sz w:val="24"/>
        </w:rPr>
      </w:pPr>
      <w:r w:rsidRPr="00934067">
        <w:rPr>
          <w:rFonts w:ascii="Times New Roman" w:hAnsi="Times New Roman" w:cs="Times New Roman"/>
          <w:b/>
          <w:sz w:val="24"/>
        </w:rPr>
        <w:t>Los ingresos se reconocen basados en la causación y en un intercambio económico, ajustado al principio de la partida doble.</w:t>
      </w:r>
    </w:p>
    <w:p w:rsidR="00934067" w:rsidRDefault="00934067" w:rsidP="00801D62">
      <w:pPr>
        <w:spacing w:line="360" w:lineRule="auto"/>
        <w:ind w:left="360"/>
        <w:jc w:val="both"/>
        <w:rPr>
          <w:rFonts w:ascii="Times New Roman" w:hAnsi="Times New Roman" w:cs="Times New Roman"/>
          <w:color w:val="C00000"/>
          <w:sz w:val="24"/>
        </w:rPr>
      </w:pPr>
    </w:p>
    <w:p w:rsidR="00934067" w:rsidRDefault="00934067" w:rsidP="00801D62">
      <w:pPr>
        <w:spacing w:line="360" w:lineRule="auto"/>
        <w:jc w:val="both"/>
        <w:rPr>
          <w:rFonts w:ascii="Times New Roman" w:hAnsi="Times New Roman" w:cs="Times New Roman"/>
          <w:color w:val="C00000"/>
          <w:sz w:val="24"/>
        </w:rPr>
      </w:pPr>
      <w:r w:rsidRPr="00934067">
        <w:rPr>
          <w:rFonts w:ascii="Times New Roman" w:hAnsi="Times New Roman" w:cs="Times New Roman"/>
          <w:color w:val="C00000"/>
          <w:sz w:val="24"/>
        </w:rPr>
        <w:lastRenderedPageBreak/>
        <w:t xml:space="preserve">Ejemplos: </w:t>
      </w:r>
    </w:p>
    <w:p w:rsidR="00CE06F2" w:rsidRPr="00CE06F2" w:rsidRDefault="00934067" w:rsidP="00801D62">
      <w:pPr>
        <w:pStyle w:val="Prrafodelista"/>
        <w:numPr>
          <w:ilvl w:val="0"/>
          <w:numId w:val="55"/>
        </w:numPr>
        <w:spacing w:line="360" w:lineRule="auto"/>
        <w:jc w:val="both"/>
        <w:rPr>
          <w:rFonts w:ascii="Times New Roman" w:hAnsi="Times New Roman" w:cs="Times New Roman"/>
          <w:color w:val="C00000"/>
          <w:sz w:val="24"/>
        </w:rPr>
      </w:pPr>
      <w:r w:rsidRPr="00CE06F2">
        <w:rPr>
          <w:rFonts w:ascii="Times New Roman" w:hAnsi="Times New Roman" w:cs="Times New Roman"/>
          <w:sz w:val="24"/>
        </w:rPr>
        <w:t>Se arrienda un local comercial por $342.00</w:t>
      </w:r>
    </w:p>
    <w:p w:rsidR="00A73ACC" w:rsidRPr="00CE06F2" w:rsidRDefault="00934067" w:rsidP="00801D62">
      <w:pPr>
        <w:pStyle w:val="Prrafodelista"/>
        <w:numPr>
          <w:ilvl w:val="0"/>
          <w:numId w:val="55"/>
        </w:numPr>
        <w:spacing w:line="360" w:lineRule="auto"/>
        <w:jc w:val="both"/>
        <w:rPr>
          <w:rFonts w:ascii="Times New Roman" w:hAnsi="Times New Roman" w:cs="Times New Roman"/>
          <w:color w:val="C00000"/>
          <w:sz w:val="24"/>
        </w:rPr>
      </w:pPr>
      <w:r w:rsidRPr="00CE06F2">
        <w:rPr>
          <w:rFonts w:ascii="Times New Roman" w:hAnsi="Times New Roman" w:cs="Times New Roman"/>
          <w:sz w:val="24"/>
        </w:rPr>
        <w:t>Se presta servicios de asesoría contable por $244.00 nos cancelan con cheque #453</w:t>
      </w:r>
    </w:p>
    <w:p w:rsidR="00934067" w:rsidRPr="00934067" w:rsidRDefault="00934067" w:rsidP="00801D62">
      <w:pPr>
        <w:pStyle w:val="Prrafodelista"/>
        <w:spacing w:line="360" w:lineRule="auto"/>
        <w:ind w:left="1080"/>
        <w:jc w:val="both"/>
        <w:rPr>
          <w:rFonts w:ascii="Times New Roman" w:hAnsi="Times New Roman" w:cs="Times New Roman"/>
          <w:color w:val="C00000"/>
          <w:sz w:val="24"/>
        </w:rPr>
      </w:pPr>
    </w:p>
    <w:p w:rsidR="00A73ACC" w:rsidRPr="00934067" w:rsidRDefault="00A73ACC" w:rsidP="00801D62">
      <w:pPr>
        <w:pStyle w:val="Prrafodelista"/>
        <w:numPr>
          <w:ilvl w:val="0"/>
          <w:numId w:val="2"/>
        </w:numPr>
        <w:spacing w:line="360" w:lineRule="auto"/>
        <w:jc w:val="both"/>
        <w:rPr>
          <w:rFonts w:ascii="Times New Roman" w:hAnsi="Times New Roman" w:cs="Times New Roman"/>
          <w:b/>
          <w:sz w:val="24"/>
        </w:rPr>
      </w:pPr>
      <w:r w:rsidRPr="00934067">
        <w:rPr>
          <w:rFonts w:ascii="Times New Roman" w:hAnsi="Times New Roman" w:cs="Times New Roman"/>
          <w:b/>
          <w:sz w:val="24"/>
        </w:rPr>
        <w:t>Las partidas del Balance General son valuadas, en su mayoría, al costo, con el fin de mantener un principio conservador.</w:t>
      </w:r>
    </w:p>
    <w:p w:rsidR="00934067" w:rsidRDefault="00934067" w:rsidP="00801D62">
      <w:pPr>
        <w:spacing w:line="360" w:lineRule="auto"/>
        <w:jc w:val="both"/>
        <w:rPr>
          <w:rFonts w:ascii="Times New Roman" w:hAnsi="Times New Roman" w:cs="Times New Roman"/>
          <w:color w:val="C00000"/>
          <w:sz w:val="24"/>
        </w:rPr>
      </w:pPr>
      <w:r w:rsidRPr="00934067">
        <w:rPr>
          <w:rFonts w:ascii="Times New Roman" w:hAnsi="Times New Roman" w:cs="Times New Roman"/>
          <w:color w:val="C00000"/>
          <w:sz w:val="24"/>
        </w:rPr>
        <w:t xml:space="preserve">Ejemplos: </w:t>
      </w:r>
    </w:p>
    <w:p w:rsidR="00CE06F2" w:rsidRPr="00CE06F2" w:rsidRDefault="00CE06F2" w:rsidP="00801D62">
      <w:pPr>
        <w:pStyle w:val="Prrafodelista"/>
        <w:numPr>
          <w:ilvl w:val="0"/>
          <w:numId w:val="54"/>
        </w:numPr>
        <w:spacing w:line="360" w:lineRule="auto"/>
        <w:jc w:val="both"/>
        <w:rPr>
          <w:rFonts w:ascii="Times New Roman" w:hAnsi="Times New Roman" w:cs="Times New Roman"/>
          <w:color w:val="C00000"/>
          <w:sz w:val="24"/>
        </w:rPr>
      </w:pPr>
      <w:r>
        <w:rPr>
          <w:rFonts w:ascii="Times New Roman" w:hAnsi="Times New Roman" w:cs="Times New Roman"/>
          <w:sz w:val="24"/>
        </w:rPr>
        <w:t>La empresa adquiere un vehículo por $ 23.000, dicha compra se la debe registrar al costo de mercado.</w:t>
      </w:r>
    </w:p>
    <w:p w:rsidR="00A73ACC" w:rsidRPr="00CE06F2" w:rsidRDefault="00CE06F2" w:rsidP="00801D62">
      <w:pPr>
        <w:pStyle w:val="Prrafodelista"/>
        <w:numPr>
          <w:ilvl w:val="0"/>
          <w:numId w:val="54"/>
        </w:numPr>
        <w:spacing w:line="360" w:lineRule="auto"/>
        <w:jc w:val="both"/>
        <w:rPr>
          <w:rFonts w:ascii="Times New Roman" w:hAnsi="Times New Roman" w:cs="Times New Roman"/>
          <w:color w:val="C00000"/>
          <w:sz w:val="24"/>
        </w:rPr>
      </w:pPr>
      <w:r>
        <w:rPr>
          <w:rFonts w:ascii="Times New Roman" w:hAnsi="Times New Roman" w:cs="Times New Roman"/>
          <w:sz w:val="24"/>
        </w:rPr>
        <w:t>Se compra un archivador por $255.00 al contado, dicha transacción debe registrarse al precio de mercado.</w:t>
      </w:r>
    </w:p>
    <w:p w:rsidR="00CE06F2" w:rsidRPr="00CE06F2" w:rsidRDefault="00CE06F2" w:rsidP="00801D62">
      <w:pPr>
        <w:pStyle w:val="Prrafodelista"/>
        <w:spacing w:line="360" w:lineRule="auto"/>
        <w:jc w:val="both"/>
        <w:rPr>
          <w:rFonts w:ascii="Times New Roman" w:hAnsi="Times New Roman" w:cs="Times New Roman"/>
          <w:color w:val="C00000"/>
          <w:sz w:val="24"/>
        </w:rPr>
      </w:pPr>
    </w:p>
    <w:p w:rsidR="00DA2B4A" w:rsidRDefault="00A73ACC" w:rsidP="00801D62">
      <w:pPr>
        <w:pStyle w:val="Prrafodelista"/>
        <w:numPr>
          <w:ilvl w:val="0"/>
          <w:numId w:val="2"/>
        </w:numPr>
        <w:spacing w:line="360" w:lineRule="auto"/>
        <w:jc w:val="both"/>
        <w:rPr>
          <w:rFonts w:ascii="Times New Roman" w:hAnsi="Times New Roman" w:cs="Times New Roman"/>
          <w:sz w:val="24"/>
        </w:rPr>
      </w:pPr>
      <w:r w:rsidRPr="00CE06F2">
        <w:rPr>
          <w:rFonts w:ascii="Times New Roman" w:hAnsi="Times New Roman" w:cs="Times New Roman"/>
          <w:b/>
          <w:sz w:val="24"/>
        </w:rPr>
        <w:t>Al igual que el punto anterior, las perdidas sobre derechos se deberían registrar inmediatamente, pero las utilidades no</w:t>
      </w:r>
      <w:r>
        <w:rPr>
          <w:rFonts w:ascii="Times New Roman" w:hAnsi="Times New Roman" w:cs="Times New Roman"/>
          <w:sz w:val="24"/>
        </w:rPr>
        <w:t>.</w:t>
      </w:r>
      <w:r w:rsidR="00B75CFD">
        <w:rPr>
          <w:rFonts w:ascii="Times New Roman" w:hAnsi="Times New Roman" w:cs="Times New Roman"/>
          <w:sz w:val="24"/>
        </w:rPr>
        <w:t>”</w:t>
      </w:r>
      <w:sdt>
        <w:sdtPr>
          <w:rPr>
            <w:rFonts w:ascii="Times New Roman" w:hAnsi="Times New Roman" w:cs="Times New Roman"/>
            <w:sz w:val="24"/>
          </w:rPr>
          <w:id w:val="1194347278"/>
          <w:citation/>
        </w:sdtPr>
        <w:sdtContent>
          <w:r w:rsidR="00B75CFD">
            <w:rPr>
              <w:rFonts w:ascii="Times New Roman" w:hAnsi="Times New Roman" w:cs="Times New Roman"/>
              <w:sz w:val="24"/>
            </w:rPr>
            <w:fldChar w:fldCharType="begin"/>
          </w:r>
          <w:r w:rsidR="00B75CFD">
            <w:rPr>
              <w:rFonts w:ascii="Times New Roman" w:hAnsi="Times New Roman" w:cs="Times New Roman"/>
              <w:sz w:val="24"/>
            </w:rPr>
            <w:instrText xml:space="preserve"> CITATION Cif99 \l 12298 </w:instrText>
          </w:r>
          <w:r w:rsidR="00B75CFD">
            <w:rPr>
              <w:rFonts w:ascii="Times New Roman" w:hAnsi="Times New Roman" w:cs="Times New Roman"/>
              <w:sz w:val="24"/>
            </w:rPr>
            <w:fldChar w:fldCharType="separate"/>
          </w:r>
          <w:r w:rsidR="00B75CFD">
            <w:rPr>
              <w:rFonts w:ascii="Times New Roman" w:hAnsi="Times New Roman" w:cs="Times New Roman"/>
              <w:noProof/>
              <w:sz w:val="24"/>
            </w:rPr>
            <w:t xml:space="preserve"> </w:t>
          </w:r>
          <w:r w:rsidR="00B75CFD" w:rsidRPr="00B75CFD">
            <w:rPr>
              <w:rFonts w:ascii="Times New Roman" w:hAnsi="Times New Roman" w:cs="Times New Roman"/>
              <w:noProof/>
              <w:sz w:val="24"/>
            </w:rPr>
            <w:t>(Cifuentes, 1999)</w:t>
          </w:r>
          <w:r w:rsidR="00B75CFD">
            <w:rPr>
              <w:rFonts w:ascii="Times New Roman" w:hAnsi="Times New Roman" w:cs="Times New Roman"/>
              <w:sz w:val="24"/>
            </w:rPr>
            <w:fldChar w:fldCharType="end"/>
          </w:r>
        </w:sdtContent>
      </w:sdt>
    </w:p>
    <w:p w:rsidR="00CE06F2" w:rsidRDefault="00CE06F2" w:rsidP="00801D62">
      <w:pPr>
        <w:spacing w:line="360" w:lineRule="auto"/>
        <w:jc w:val="both"/>
        <w:rPr>
          <w:rFonts w:ascii="Times New Roman" w:hAnsi="Times New Roman" w:cs="Times New Roman"/>
          <w:color w:val="C00000"/>
          <w:sz w:val="24"/>
        </w:rPr>
      </w:pPr>
      <w:r w:rsidRPr="00CE06F2">
        <w:rPr>
          <w:rFonts w:ascii="Times New Roman" w:hAnsi="Times New Roman" w:cs="Times New Roman"/>
          <w:color w:val="C00000"/>
          <w:sz w:val="24"/>
        </w:rPr>
        <w:t xml:space="preserve">Ejemplos: </w:t>
      </w:r>
    </w:p>
    <w:p w:rsidR="00CE06F2" w:rsidRPr="00CE06F2" w:rsidRDefault="00CE06F2" w:rsidP="00801D62">
      <w:pPr>
        <w:pStyle w:val="Prrafodelista"/>
        <w:numPr>
          <w:ilvl w:val="0"/>
          <w:numId w:val="56"/>
        </w:numPr>
        <w:spacing w:line="360" w:lineRule="auto"/>
        <w:jc w:val="both"/>
        <w:rPr>
          <w:rFonts w:ascii="Times New Roman" w:hAnsi="Times New Roman" w:cs="Times New Roman"/>
          <w:color w:val="C00000"/>
          <w:sz w:val="24"/>
        </w:rPr>
      </w:pPr>
      <w:r>
        <w:rPr>
          <w:rFonts w:ascii="Times New Roman" w:hAnsi="Times New Roman" w:cs="Times New Roman"/>
          <w:sz w:val="24"/>
        </w:rPr>
        <w:t>La Cooperativa “Tulcán” obtuvo un utilidad del $5.320 la misma que debe</w:t>
      </w:r>
      <w:r w:rsidR="005D29B2">
        <w:rPr>
          <w:rFonts w:ascii="Times New Roman" w:hAnsi="Times New Roman" w:cs="Times New Roman"/>
          <w:sz w:val="24"/>
        </w:rPr>
        <w:t xml:space="preserve"> no debe ser</w:t>
      </w:r>
      <w:r>
        <w:rPr>
          <w:rFonts w:ascii="Times New Roman" w:hAnsi="Times New Roman" w:cs="Times New Roman"/>
          <w:sz w:val="24"/>
        </w:rPr>
        <w:t xml:space="preserve"> registrarse </w:t>
      </w:r>
      <w:r w:rsidR="005D29B2">
        <w:rPr>
          <w:rFonts w:ascii="Times New Roman" w:hAnsi="Times New Roman" w:cs="Times New Roman"/>
          <w:sz w:val="24"/>
        </w:rPr>
        <w:t xml:space="preserve">ya que se procederá </w:t>
      </w:r>
      <w:r>
        <w:rPr>
          <w:rFonts w:ascii="Times New Roman" w:hAnsi="Times New Roman" w:cs="Times New Roman"/>
          <w:sz w:val="24"/>
        </w:rPr>
        <w:t>a su respectiva repartición.</w:t>
      </w:r>
    </w:p>
    <w:p w:rsidR="00DA2B4A" w:rsidRPr="005D29B2" w:rsidRDefault="00CE06F2" w:rsidP="00801D62">
      <w:pPr>
        <w:pStyle w:val="Prrafodelista"/>
        <w:numPr>
          <w:ilvl w:val="0"/>
          <w:numId w:val="56"/>
        </w:numPr>
        <w:spacing w:line="360" w:lineRule="auto"/>
        <w:jc w:val="both"/>
        <w:rPr>
          <w:rFonts w:ascii="Times New Roman" w:hAnsi="Times New Roman" w:cs="Times New Roman"/>
          <w:color w:val="C00000"/>
          <w:sz w:val="24"/>
        </w:rPr>
      </w:pPr>
      <w:r>
        <w:rPr>
          <w:rFonts w:ascii="Times New Roman" w:hAnsi="Times New Roman" w:cs="Times New Roman"/>
          <w:sz w:val="24"/>
        </w:rPr>
        <w:t>Víveres “</w:t>
      </w:r>
      <w:r w:rsidR="005D29B2">
        <w:rPr>
          <w:rFonts w:ascii="Times New Roman" w:hAnsi="Times New Roman" w:cs="Times New Roman"/>
          <w:sz w:val="24"/>
        </w:rPr>
        <w:t>Anita</w:t>
      </w:r>
      <w:r>
        <w:rPr>
          <w:rFonts w:ascii="Times New Roman" w:hAnsi="Times New Roman" w:cs="Times New Roman"/>
          <w:sz w:val="24"/>
        </w:rPr>
        <w:t>” obtuvo una pérdida de $678.00 la misma que debe se</w:t>
      </w:r>
      <w:r w:rsidR="005D29B2">
        <w:rPr>
          <w:rFonts w:ascii="Times New Roman" w:hAnsi="Times New Roman" w:cs="Times New Roman"/>
          <w:sz w:val="24"/>
        </w:rPr>
        <w:t xml:space="preserve">r registrada contablemente y comunicada a los </w:t>
      </w:r>
      <w:r>
        <w:rPr>
          <w:rFonts w:ascii="Times New Roman" w:hAnsi="Times New Roman" w:cs="Times New Roman"/>
          <w:sz w:val="24"/>
        </w:rPr>
        <w:t>accionista</w:t>
      </w:r>
      <w:r w:rsidR="005D29B2">
        <w:rPr>
          <w:rFonts w:ascii="Times New Roman" w:hAnsi="Times New Roman" w:cs="Times New Roman"/>
          <w:sz w:val="24"/>
        </w:rPr>
        <w:t>s</w:t>
      </w:r>
      <w:r>
        <w:rPr>
          <w:rFonts w:ascii="Times New Roman" w:hAnsi="Times New Roman" w:cs="Times New Roman"/>
          <w:sz w:val="24"/>
        </w:rPr>
        <w:t xml:space="preserve"> para tomar decisiones adecuadas.</w:t>
      </w:r>
    </w:p>
    <w:p w:rsidR="005D29B2" w:rsidRPr="005D29B2" w:rsidRDefault="005D29B2" w:rsidP="00801D62">
      <w:pPr>
        <w:pStyle w:val="Prrafodelista"/>
        <w:spacing w:line="360" w:lineRule="auto"/>
        <w:jc w:val="both"/>
        <w:rPr>
          <w:rFonts w:ascii="Times New Roman" w:hAnsi="Times New Roman" w:cs="Times New Roman"/>
          <w:color w:val="C00000"/>
          <w:sz w:val="24"/>
        </w:rPr>
      </w:pPr>
    </w:p>
    <w:p w:rsidR="00A73ACC" w:rsidRDefault="00A73ACC" w:rsidP="00801D62">
      <w:pPr>
        <w:spacing w:line="360" w:lineRule="auto"/>
        <w:jc w:val="center"/>
        <w:rPr>
          <w:rFonts w:ascii="Times New Roman" w:hAnsi="Times New Roman" w:cs="Times New Roman"/>
          <w:b/>
          <w:sz w:val="28"/>
        </w:rPr>
      </w:pPr>
      <w:r w:rsidRPr="00A73ACC">
        <w:rPr>
          <w:rFonts w:ascii="Times New Roman" w:hAnsi="Times New Roman" w:cs="Times New Roman"/>
          <w:b/>
          <w:sz w:val="28"/>
        </w:rPr>
        <w:t>LIMITACIONES DE LOS ESTADOS FINANCIEROS</w:t>
      </w:r>
    </w:p>
    <w:p w:rsidR="00A73ACC" w:rsidRDefault="00B75CFD" w:rsidP="00801D62">
      <w:pPr>
        <w:spacing w:line="360" w:lineRule="auto"/>
        <w:jc w:val="both"/>
        <w:rPr>
          <w:rFonts w:ascii="Times New Roman" w:hAnsi="Times New Roman" w:cs="Times New Roman"/>
          <w:sz w:val="24"/>
        </w:rPr>
      </w:pPr>
      <w:r>
        <w:rPr>
          <w:rFonts w:ascii="Times New Roman" w:hAnsi="Times New Roman" w:cs="Times New Roman"/>
          <w:sz w:val="24"/>
        </w:rPr>
        <w:t>“</w:t>
      </w:r>
      <w:r w:rsidR="00A73ACC">
        <w:rPr>
          <w:rFonts w:ascii="Times New Roman" w:hAnsi="Times New Roman" w:cs="Times New Roman"/>
          <w:sz w:val="24"/>
        </w:rPr>
        <w:t>Pese a que se conciben generalmente como exactos, precisos y confiables, los estados financieros presentan algunas limitaciones, entre las cuales podemos destacar:</w:t>
      </w:r>
    </w:p>
    <w:p w:rsidR="00DA2B4A" w:rsidRPr="005D29B2" w:rsidRDefault="00A73ACC" w:rsidP="00801D62">
      <w:pPr>
        <w:pStyle w:val="Prrafodelista"/>
        <w:numPr>
          <w:ilvl w:val="0"/>
          <w:numId w:val="3"/>
        </w:numPr>
        <w:spacing w:line="360" w:lineRule="auto"/>
        <w:jc w:val="both"/>
        <w:rPr>
          <w:rFonts w:ascii="Times New Roman" w:hAnsi="Times New Roman" w:cs="Times New Roman"/>
          <w:b/>
          <w:sz w:val="24"/>
        </w:rPr>
      </w:pPr>
      <w:r w:rsidRPr="005D29B2">
        <w:rPr>
          <w:rFonts w:ascii="Times New Roman" w:hAnsi="Times New Roman" w:cs="Times New Roman"/>
          <w:b/>
          <w:sz w:val="24"/>
        </w:rPr>
        <w:t xml:space="preserve">Son informes provisionales, pues las ganancias y/o pérdidas reales sólo se pueden calcular en el momento en que </w:t>
      </w:r>
      <w:r w:rsidR="003D62A8" w:rsidRPr="005D29B2">
        <w:rPr>
          <w:rFonts w:ascii="Times New Roman" w:hAnsi="Times New Roman" w:cs="Times New Roman"/>
          <w:b/>
          <w:sz w:val="24"/>
        </w:rPr>
        <w:t>se realizan o liquidan los derechos.</w:t>
      </w:r>
    </w:p>
    <w:p w:rsidR="005D29B2" w:rsidRDefault="005D29B2" w:rsidP="00801D62">
      <w:pPr>
        <w:spacing w:line="360" w:lineRule="auto"/>
        <w:jc w:val="both"/>
        <w:rPr>
          <w:rFonts w:ascii="Times New Roman" w:hAnsi="Times New Roman" w:cs="Times New Roman"/>
          <w:color w:val="C00000"/>
          <w:sz w:val="24"/>
        </w:rPr>
      </w:pPr>
    </w:p>
    <w:p w:rsidR="005D29B2" w:rsidRDefault="005D29B2" w:rsidP="00801D62">
      <w:pPr>
        <w:spacing w:line="360" w:lineRule="auto"/>
        <w:jc w:val="both"/>
        <w:rPr>
          <w:rFonts w:ascii="Times New Roman" w:hAnsi="Times New Roman" w:cs="Times New Roman"/>
          <w:color w:val="C00000"/>
          <w:sz w:val="24"/>
        </w:rPr>
      </w:pPr>
      <w:r w:rsidRPr="005D29B2">
        <w:rPr>
          <w:rFonts w:ascii="Times New Roman" w:hAnsi="Times New Roman" w:cs="Times New Roman"/>
          <w:color w:val="C00000"/>
          <w:sz w:val="24"/>
        </w:rPr>
        <w:lastRenderedPageBreak/>
        <w:t xml:space="preserve">Ejemplos: </w:t>
      </w:r>
    </w:p>
    <w:p w:rsidR="005D29B2" w:rsidRPr="005D29B2" w:rsidRDefault="005D29B2" w:rsidP="00801D62">
      <w:pPr>
        <w:pStyle w:val="Prrafodelista"/>
        <w:numPr>
          <w:ilvl w:val="0"/>
          <w:numId w:val="57"/>
        </w:numPr>
        <w:spacing w:line="360" w:lineRule="auto"/>
        <w:jc w:val="both"/>
        <w:rPr>
          <w:rFonts w:ascii="Times New Roman" w:hAnsi="Times New Roman" w:cs="Times New Roman"/>
          <w:color w:val="C00000"/>
          <w:sz w:val="24"/>
        </w:rPr>
      </w:pPr>
      <w:r>
        <w:rPr>
          <w:rFonts w:ascii="Times New Roman" w:hAnsi="Times New Roman" w:cs="Times New Roman"/>
          <w:sz w:val="24"/>
        </w:rPr>
        <w:t>El comercial “Castillo” en sus estados financieros presentó una pérdida de $7890 sobre la cual deberá tomar decisiones acordes a la situación del comercial y se registrará contablemente.</w:t>
      </w:r>
    </w:p>
    <w:p w:rsidR="00B75CFD" w:rsidRPr="005D29B2" w:rsidRDefault="005D29B2" w:rsidP="00801D62">
      <w:pPr>
        <w:pStyle w:val="Prrafodelista"/>
        <w:numPr>
          <w:ilvl w:val="0"/>
          <w:numId w:val="57"/>
        </w:numPr>
        <w:spacing w:line="360" w:lineRule="auto"/>
        <w:jc w:val="both"/>
        <w:rPr>
          <w:rFonts w:ascii="Times New Roman" w:hAnsi="Times New Roman" w:cs="Times New Roman"/>
          <w:color w:val="C00000"/>
          <w:sz w:val="24"/>
        </w:rPr>
      </w:pPr>
      <w:r>
        <w:rPr>
          <w:rFonts w:ascii="Times New Roman" w:hAnsi="Times New Roman" w:cs="Times New Roman"/>
          <w:sz w:val="24"/>
        </w:rPr>
        <w:t xml:space="preserve">El supermercado “AKI” obtuvo una ganancia de $12567.00  por la venta de su mercadería la misma que no se </w:t>
      </w:r>
      <w:proofErr w:type="gramStart"/>
      <w:r>
        <w:rPr>
          <w:rFonts w:ascii="Times New Roman" w:hAnsi="Times New Roman" w:cs="Times New Roman"/>
          <w:sz w:val="24"/>
        </w:rPr>
        <w:t>registrará .</w:t>
      </w:r>
      <w:proofErr w:type="gramEnd"/>
    </w:p>
    <w:p w:rsidR="005D29B2" w:rsidRPr="005D29B2" w:rsidRDefault="005D29B2" w:rsidP="00801D62">
      <w:pPr>
        <w:pStyle w:val="Prrafodelista"/>
        <w:spacing w:line="360" w:lineRule="auto"/>
        <w:jc w:val="both"/>
        <w:rPr>
          <w:rFonts w:ascii="Times New Roman" w:hAnsi="Times New Roman" w:cs="Times New Roman"/>
          <w:color w:val="C00000"/>
          <w:sz w:val="24"/>
        </w:rPr>
      </w:pPr>
    </w:p>
    <w:p w:rsidR="00DA2B4A" w:rsidRDefault="00DA2B4A" w:rsidP="00801D62">
      <w:pPr>
        <w:pStyle w:val="Prrafodelista"/>
        <w:numPr>
          <w:ilvl w:val="0"/>
          <w:numId w:val="3"/>
        </w:numPr>
        <w:spacing w:line="360" w:lineRule="auto"/>
        <w:jc w:val="both"/>
        <w:rPr>
          <w:rFonts w:ascii="Times New Roman" w:hAnsi="Times New Roman" w:cs="Times New Roman"/>
          <w:b/>
          <w:sz w:val="24"/>
        </w:rPr>
      </w:pPr>
      <w:r w:rsidRPr="005D29B2">
        <w:rPr>
          <w:rFonts w:ascii="Times New Roman" w:hAnsi="Times New Roman" w:cs="Times New Roman"/>
          <w:b/>
          <w:sz w:val="24"/>
        </w:rPr>
        <w:t>Los estados financieros involucran a varias áreas dentro de la organización, por lo cual confluyen diversos intereses sobre las normas propias a ser aplicadas.</w:t>
      </w:r>
    </w:p>
    <w:p w:rsidR="005D29B2" w:rsidRDefault="005D29B2" w:rsidP="00801D62">
      <w:pPr>
        <w:spacing w:line="360" w:lineRule="auto"/>
        <w:jc w:val="both"/>
        <w:rPr>
          <w:rFonts w:ascii="Times New Roman" w:hAnsi="Times New Roman" w:cs="Times New Roman"/>
          <w:color w:val="C00000"/>
          <w:sz w:val="24"/>
        </w:rPr>
      </w:pPr>
      <w:r w:rsidRPr="005D29B2">
        <w:rPr>
          <w:rFonts w:ascii="Times New Roman" w:hAnsi="Times New Roman" w:cs="Times New Roman"/>
          <w:color w:val="C00000"/>
          <w:sz w:val="24"/>
        </w:rPr>
        <w:t xml:space="preserve">Ejemplos: </w:t>
      </w:r>
    </w:p>
    <w:p w:rsidR="005D29B2" w:rsidRPr="0055488A" w:rsidRDefault="005D29B2" w:rsidP="00801D62">
      <w:pPr>
        <w:pStyle w:val="Prrafodelista"/>
        <w:numPr>
          <w:ilvl w:val="0"/>
          <w:numId w:val="58"/>
        </w:numPr>
        <w:spacing w:line="360" w:lineRule="auto"/>
        <w:jc w:val="both"/>
        <w:rPr>
          <w:rFonts w:ascii="Times New Roman" w:hAnsi="Times New Roman" w:cs="Times New Roman"/>
          <w:color w:val="C00000"/>
          <w:sz w:val="24"/>
        </w:rPr>
      </w:pPr>
      <w:r>
        <w:rPr>
          <w:rFonts w:ascii="Times New Roman" w:hAnsi="Times New Roman" w:cs="Times New Roman"/>
          <w:sz w:val="24"/>
        </w:rPr>
        <w:t>Para realizar los estados financieros intervienes aportando con varias evidencias el departamento de finanzas, contabilidad, administración, con el propósito de tener una mejor visualización del estado económico de la empresa.</w:t>
      </w:r>
    </w:p>
    <w:p w:rsidR="00DA2B4A" w:rsidRPr="0055488A" w:rsidRDefault="0055488A" w:rsidP="00801D62">
      <w:pPr>
        <w:pStyle w:val="Prrafodelista"/>
        <w:numPr>
          <w:ilvl w:val="0"/>
          <w:numId w:val="58"/>
        </w:numPr>
        <w:spacing w:line="360" w:lineRule="auto"/>
        <w:jc w:val="both"/>
        <w:rPr>
          <w:rFonts w:ascii="Times New Roman" w:hAnsi="Times New Roman" w:cs="Times New Roman"/>
          <w:color w:val="C00000"/>
          <w:sz w:val="24"/>
        </w:rPr>
      </w:pPr>
      <w:r>
        <w:rPr>
          <w:rFonts w:ascii="Times New Roman" w:hAnsi="Times New Roman" w:cs="Times New Roman"/>
          <w:sz w:val="24"/>
        </w:rPr>
        <w:t>Se compra un escritorio los departamentos que intervienen para su contabilización son administración, contabilidad, los mismos que facilitan la transacción en el momento que se requiera</w:t>
      </w:r>
    </w:p>
    <w:p w:rsidR="0055488A" w:rsidRPr="0055488A" w:rsidRDefault="0055488A" w:rsidP="00801D62">
      <w:pPr>
        <w:pStyle w:val="Prrafodelista"/>
        <w:spacing w:line="360" w:lineRule="auto"/>
        <w:jc w:val="both"/>
        <w:rPr>
          <w:rFonts w:ascii="Times New Roman" w:hAnsi="Times New Roman" w:cs="Times New Roman"/>
          <w:color w:val="C00000"/>
          <w:sz w:val="24"/>
        </w:rPr>
      </w:pPr>
    </w:p>
    <w:p w:rsidR="003D62A8" w:rsidRPr="0055488A" w:rsidRDefault="00DA2B4A" w:rsidP="00801D62">
      <w:pPr>
        <w:pStyle w:val="Prrafodelista"/>
        <w:numPr>
          <w:ilvl w:val="0"/>
          <w:numId w:val="3"/>
        </w:numPr>
        <w:spacing w:line="360" w:lineRule="auto"/>
        <w:jc w:val="both"/>
        <w:rPr>
          <w:rFonts w:ascii="Times New Roman" w:hAnsi="Times New Roman" w:cs="Times New Roman"/>
          <w:b/>
          <w:sz w:val="24"/>
        </w:rPr>
      </w:pPr>
      <w:r w:rsidRPr="0055488A">
        <w:rPr>
          <w:rFonts w:ascii="Times New Roman" w:hAnsi="Times New Roman" w:cs="Times New Roman"/>
          <w:b/>
          <w:sz w:val="24"/>
        </w:rPr>
        <w:t>En una economía inflacionaria, como la ecuatoriana y con grandes recesiones, en un momento determinado no se puede determinar el valor de los activos, pese a que con los ajustes por inflación y las valorizaciones se dio un importante avance en minimizar las diferencias.</w:t>
      </w:r>
    </w:p>
    <w:p w:rsidR="0055488A" w:rsidRDefault="0055488A" w:rsidP="00801D62">
      <w:pPr>
        <w:spacing w:line="360" w:lineRule="auto"/>
        <w:jc w:val="both"/>
        <w:rPr>
          <w:rFonts w:ascii="Times New Roman" w:hAnsi="Times New Roman" w:cs="Times New Roman"/>
          <w:color w:val="C00000"/>
          <w:sz w:val="24"/>
        </w:rPr>
      </w:pPr>
      <w:r w:rsidRPr="0055488A">
        <w:rPr>
          <w:rFonts w:ascii="Times New Roman" w:hAnsi="Times New Roman" w:cs="Times New Roman"/>
          <w:color w:val="C00000"/>
          <w:sz w:val="24"/>
        </w:rPr>
        <w:t xml:space="preserve">Ejemplos: </w:t>
      </w:r>
    </w:p>
    <w:p w:rsidR="0055488A" w:rsidRPr="0055488A" w:rsidRDefault="0055488A" w:rsidP="00801D62">
      <w:pPr>
        <w:pStyle w:val="Prrafodelista"/>
        <w:numPr>
          <w:ilvl w:val="0"/>
          <w:numId w:val="59"/>
        </w:numPr>
        <w:spacing w:line="360" w:lineRule="auto"/>
        <w:jc w:val="both"/>
        <w:rPr>
          <w:rFonts w:ascii="Times New Roman" w:hAnsi="Times New Roman" w:cs="Times New Roman"/>
          <w:color w:val="C00000"/>
          <w:sz w:val="24"/>
        </w:rPr>
      </w:pPr>
      <w:r>
        <w:rPr>
          <w:rFonts w:ascii="Times New Roman" w:hAnsi="Times New Roman" w:cs="Times New Roman"/>
          <w:sz w:val="24"/>
        </w:rPr>
        <w:t>El costo de una impresora en el 2011 era de $255.00 pero en este año se incrementó a $456.00</w:t>
      </w:r>
    </w:p>
    <w:p w:rsidR="0055488A" w:rsidRPr="0055488A" w:rsidRDefault="0055488A" w:rsidP="00801D62">
      <w:pPr>
        <w:pStyle w:val="Prrafodelista"/>
        <w:numPr>
          <w:ilvl w:val="0"/>
          <w:numId w:val="59"/>
        </w:numPr>
        <w:spacing w:line="360" w:lineRule="auto"/>
        <w:jc w:val="both"/>
        <w:rPr>
          <w:rFonts w:ascii="Times New Roman" w:hAnsi="Times New Roman" w:cs="Times New Roman"/>
          <w:color w:val="C00000"/>
          <w:sz w:val="24"/>
        </w:rPr>
      </w:pPr>
      <w:r>
        <w:rPr>
          <w:rFonts w:ascii="Times New Roman" w:hAnsi="Times New Roman" w:cs="Times New Roman"/>
          <w:sz w:val="24"/>
        </w:rPr>
        <w:t>Una cortadora en el mes de mayo tenía un costo de $896.00 y en el mes de septiembre disminuyó a $655.00</w:t>
      </w:r>
    </w:p>
    <w:p w:rsidR="0055488A" w:rsidRPr="0055488A" w:rsidRDefault="0055488A" w:rsidP="00801D62">
      <w:pPr>
        <w:spacing w:line="360" w:lineRule="auto"/>
        <w:rPr>
          <w:rFonts w:ascii="Times New Roman" w:hAnsi="Times New Roman" w:cs="Times New Roman"/>
          <w:sz w:val="24"/>
        </w:rPr>
      </w:pPr>
    </w:p>
    <w:p w:rsidR="00DA2B4A" w:rsidRDefault="00DA2B4A" w:rsidP="00801D62">
      <w:pPr>
        <w:pStyle w:val="Prrafodelista"/>
        <w:numPr>
          <w:ilvl w:val="0"/>
          <w:numId w:val="3"/>
        </w:numPr>
        <w:spacing w:line="360" w:lineRule="auto"/>
        <w:jc w:val="both"/>
        <w:rPr>
          <w:rFonts w:ascii="Times New Roman" w:hAnsi="Times New Roman" w:cs="Times New Roman"/>
          <w:sz w:val="24"/>
        </w:rPr>
      </w:pPr>
      <w:r w:rsidRPr="0055488A">
        <w:rPr>
          <w:rFonts w:ascii="Times New Roman" w:hAnsi="Times New Roman" w:cs="Times New Roman"/>
          <w:b/>
          <w:sz w:val="24"/>
        </w:rPr>
        <w:lastRenderedPageBreak/>
        <w:t>Los  estados de resultados no muestran algunas situaciones que afectan la situación financiera y el resultado de las operaciones, como pueden ser la gestión administrativa, el porcentaje de cumplimiento de los presupuestos, la productividad de los empleados, entre otros.</w:t>
      </w:r>
      <w:r w:rsidR="00B75CFD">
        <w:rPr>
          <w:rFonts w:ascii="Times New Roman" w:hAnsi="Times New Roman" w:cs="Times New Roman"/>
          <w:sz w:val="24"/>
        </w:rPr>
        <w:t>”</w:t>
      </w:r>
      <w:sdt>
        <w:sdtPr>
          <w:rPr>
            <w:rFonts w:ascii="Times New Roman" w:hAnsi="Times New Roman" w:cs="Times New Roman"/>
            <w:sz w:val="24"/>
          </w:rPr>
          <w:id w:val="396793112"/>
          <w:citation/>
        </w:sdtPr>
        <w:sdtContent>
          <w:r w:rsidR="00B75CFD">
            <w:rPr>
              <w:rFonts w:ascii="Times New Roman" w:hAnsi="Times New Roman" w:cs="Times New Roman"/>
              <w:sz w:val="24"/>
            </w:rPr>
            <w:fldChar w:fldCharType="begin"/>
          </w:r>
          <w:r w:rsidR="00B75CFD">
            <w:rPr>
              <w:rFonts w:ascii="Times New Roman" w:hAnsi="Times New Roman" w:cs="Times New Roman"/>
              <w:sz w:val="24"/>
            </w:rPr>
            <w:instrText xml:space="preserve"> CITATION Cif99 \l 12298 </w:instrText>
          </w:r>
          <w:r w:rsidR="00B75CFD">
            <w:rPr>
              <w:rFonts w:ascii="Times New Roman" w:hAnsi="Times New Roman" w:cs="Times New Roman"/>
              <w:sz w:val="24"/>
            </w:rPr>
            <w:fldChar w:fldCharType="separate"/>
          </w:r>
          <w:r w:rsidR="00B75CFD">
            <w:rPr>
              <w:rFonts w:ascii="Times New Roman" w:hAnsi="Times New Roman" w:cs="Times New Roman"/>
              <w:noProof/>
              <w:sz w:val="24"/>
            </w:rPr>
            <w:t xml:space="preserve"> </w:t>
          </w:r>
          <w:r w:rsidR="00B75CFD" w:rsidRPr="00B75CFD">
            <w:rPr>
              <w:rFonts w:ascii="Times New Roman" w:hAnsi="Times New Roman" w:cs="Times New Roman"/>
              <w:noProof/>
              <w:sz w:val="24"/>
            </w:rPr>
            <w:t>(Cifuentes, 1999)</w:t>
          </w:r>
          <w:r w:rsidR="00B75CFD">
            <w:rPr>
              <w:rFonts w:ascii="Times New Roman" w:hAnsi="Times New Roman" w:cs="Times New Roman"/>
              <w:sz w:val="24"/>
            </w:rPr>
            <w:fldChar w:fldCharType="end"/>
          </w:r>
        </w:sdtContent>
      </w:sdt>
    </w:p>
    <w:p w:rsidR="0055488A" w:rsidRDefault="0055488A" w:rsidP="00801D62">
      <w:pPr>
        <w:spacing w:line="360" w:lineRule="auto"/>
        <w:jc w:val="both"/>
        <w:rPr>
          <w:rFonts w:ascii="Times New Roman" w:hAnsi="Times New Roman" w:cs="Times New Roman"/>
          <w:color w:val="C00000"/>
          <w:sz w:val="24"/>
        </w:rPr>
      </w:pPr>
      <w:r w:rsidRPr="0055488A">
        <w:rPr>
          <w:rFonts w:ascii="Times New Roman" w:hAnsi="Times New Roman" w:cs="Times New Roman"/>
          <w:color w:val="C00000"/>
          <w:sz w:val="24"/>
        </w:rPr>
        <w:t xml:space="preserve">Ejemplos: </w:t>
      </w:r>
    </w:p>
    <w:p w:rsidR="0055488A" w:rsidRDefault="00321124" w:rsidP="00801D62">
      <w:pPr>
        <w:pStyle w:val="Prrafodelista"/>
        <w:numPr>
          <w:ilvl w:val="0"/>
          <w:numId w:val="60"/>
        </w:numPr>
        <w:spacing w:line="360" w:lineRule="auto"/>
        <w:jc w:val="both"/>
        <w:rPr>
          <w:rFonts w:ascii="Times New Roman" w:hAnsi="Times New Roman" w:cs="Times New Roman"/>
          <w:sz w:val="24"/>
        </w:rPr>
      </w:pPr>
      <w:r w:rsidRPr="00321124">
        <w:rPr>
          <w:rFonts w:ascii="Times New Roman" w:hAnsi="Times New Roman" w:cs="Times New Roman"/>
          <w:sz w:val="24"/>
        </w:rPr>
        <w:t xml:space="preserve">Carchi Cable </w:t>
      </w:r>
      <w:r>
        <w:rPr>
          <w:rFonts w:ascii="Times New Roman" w:hAnsi="Times New Roman" w:cs="Times New Roman"/>
          <w:sz w:val="24"/>
        </w:rPr>
        <w:t>tuvo un 15% más de clientes que el porcentaje  planificado al inicio del año</w:t>
      </w:r>
    </w:p>
    <w:p w:rsidR="00321124" w:rsidRPr="00321124" w:rsidRDefault="00321124" w:rsidP="00801D62">
      <w:pPr>
        <w:pStyle w:val="Prrafodelista"/>
        <w:numPr>
          <w:ilvl w:val="0"/>
          <w:numId w:val="60"/>
        </w:numPr>
        <w:spacing w:line="360" w:lineRule="auto"/>
        <w:jc w:val="both"/>
        <w:rPr>
          <w:rFonts w:ascii="Times New Roman" w:hAnsi="Times New Roman" w:cs="Times New Roman"/>
          <w:sz w:val="24"/>
        </w:rPr>
      </w:pPr>
      <w:r>
        <w:rPr>
          <w:rFonts w:ascii="Times New Roman" w:hAnsi="Times New Roman" w:cs="Times New Roman"/>
          <w:sz w:val="24"/>
        </w:rPr>
        <w:t>El Restaurant “Pollo” caliente tuvo una utilidad de $2345.00 pero en los estados financieros reflejan una cantidad de $1500.00.</w:t>
      </w:r>
    </w:p>
    <w:p w:rsidR="0055488A" w:rsidRPr="0055488A" w:rsidRDefault="0055488A" w:rsidP="00801D62">
      <w:pPr>
        <w:spacing w:line="360" w:lineRule="auto"/>
        <w:jc w:val="both"/>
        <w:rPr>
          <w:rFonts w:ascii="Times New Roman" w:hAnsi="Times New Roman" w:cs="Times New Roman"/>
          <w:sz w:val="24"/>
        </w:rPr>
      </w:pPr>
    </w:p>
    <w:p w:rsidR="00DA2B4A" w:rsidRDefault="00DA2B4A" w:rsidP="00801D62">
      <w:pPr>
        <w:pStyle w:val="Prrafodelista"/>
        <w:spacing w:line="360" w:lineRule="auto"/>
        <w:jc w:val="both"/>
        <w:rPr>
          <w:rFonts w:ascii="Times New Roman" w:hAnsi="Times New Roman" w:cs="Times New Roman"/>
          <w:sz w:val="24"/>
        </w:rPr>
      </w:pPr>
    </w:p>
    <w:p w:rsidR="00B75CFD" w:rsidRDefault="00B75CFD" w:rsidP="00801D62">
      <w:pPr>
        <w:pStyle w:val="Prrafodelista"/>
        <w:spacing w:line="360" w:lineRule="auto"/>
        <w:jc w:val="both"/>
        <w:rPr>
          <w:rFonts w:ascii="Times New Roman" w:hAnsi="Times New Roman" w:cs="Times New Roman"/>
          <w:sz w:val="24"/>
        </w:rPr>
      </w:pPr>
    </w:p>
    <w:p w:rsidR="00B75CFD" w:rsidRDefault="00B75CFD" w:rsidP="00801D62">
      <w:pPr>
        <w:pStyle w:val="Prrafodelista"/>
        <w:spacing w:line="360" w:lineRule="auto"/>
        <w:jc w:val="both"/>
        <w:rPr>
          <w:rFonts w:ascii="Times New Roman" w:hAnsi="Times New Roman" w:cs="Times New Roman"/>
          <w:sz w:val="24"/>
        </w:rPr>
      </w:pPr>
    </w:p>
    <w:p w:rsidR="00801D62" w:rsidRDefault="00801D62" w:rsidP="00801D62">
      <w:pPr>
        <w:spacing w:line="360" w:lineRule="auto"/>
        <w:jc w:val="both"/>
        <w:rPr>
          <w:rFonts w:ascii="Times New Roman" w:hAnsi="Times New Roman" w:cs="Times New Roman"/>
          <w:sz w:val="24"/>
        </w:rPr>
      </w:pPr>
    </w:p>
    <w:p w:rsidR="00801D62" w:rsidRDefault="00801D62" w:rsidP="00801D62">
      <w:pPr>
        <w:spacing w:line="360" w:lineRule="auto"/>
        <w:jc w:val="both"/>
        <w:rPr>
          <w:rFonts w:ascii="Times New Roman" w:hAnsi="Times New Roman" w:cs="Times New Roman"/>
          <w:sz w:val="24"/>
        </w:rPr>
      </w:pPr>
    </w:p>
    <w:p w:rsidR="00801D62" w:rsidRDefault="00801D62" w:rsidP="00801D62">
      <w:pPr>
        <w:spacing w:line="360" w:lineRule="auto"/>
        <w:jc w:val="both"/>
        <w:rPr>
          <w:rFonts w:ascii="Times New Roman" w:hAnsi="Times New Roman" w:cs="Times New Roman"/>
          <w:sz w:val="24"/>
        </w:rPr>
      </w:pPr>
    </w:p>
    <w:p w:rsidR="00801D62" w:rsidRDefault="00801D62" w:rsidP="00801D62">
      <w:pPr>
        <w:spacing w:line="360" w:lineRule="auto"/>
        <w:jc w:val="both"/>
        <w:rPr>
          <w:rFonts w:ascii="Times New Roman" w:hAnsi="Times New Roman" w:cs="Times New Roman"/>
          <w:sz w:val="24"/>
        </w:rPr>
      </w:pPr>
    </w:p>
    <w:p w:rsidR="00801D62" w:rsidRDefault="00801D62" w:rsidP="00801D62">
      <w:pPr>
        <w:spacing w:line="360" w:lineRule="auto"/>
        <w:jc w:val="both"/>
        <w:rPr>
          <w:rFonts w:ascii="Times New Roman" w:hAnsi="Times New Roman" w:cs="Times New Roman"/>
          <w:sz w:val="24"/>
        </w:rPr>
      </w:pPr>
    </w:p>
    <w:p w:rsidR="00801D62" w:rsidRDefault="00801D62" w:rsidP="00801D62">
      <w:pPr>
        <w:spacing w:line="360" w:lineRule="auto"/>
        <w:jc w:val="both"/>
        <w:rPr>
          <w:rFonts w:ascii="Times New Roman" w:hAnsi="Times New Roman" w:cs="Times New Roman"/>
          <w:sz w:val="24"/>
        </w:rPr>
      </w:pPr>
    </w:p>
    <w:p w:rsidR="00801D62" w:rsidRDefault="00801D62" w:rsidP="00801D62">
      <w:pPr>
        <w:spacing w:line="360" w:lineRule="auto"/>
        <w:jc w:val="both"/>
        <w:rPr>
          <w:rFonts w:ascii="Times New Roman" w:hAnsi="Times New Roman" w:cs="Times New Roman"/>
          <w:sz w:val="24"/>
        </w:rPr>
      </w:pPr>
    </w:p>
    <w:p w:rsidR="00801D62" w:rsidRDefault="00801D62" w:rsidP="00801D62">
      <w:pPr>
        <w:spacing w:line="360" w:lineRule="auto"/>
        <w:jc w:val="both"/>
        <w:rPr>
          <w:rFonts w:ascii="Times New Roman" w:hAnsi="Times New Roman" w:cs="Times New Roman"/>
          <w:sz w:val="24"/>
        </w:rPr>
      </w:pPr>
    </w:p>
    <w:p w:rsidR="00801D62" w:rsidRDefault="00801D62" w:rsidP="00801D62">
      <w:pPr>
        <w:spacing w:line="360" w:lineRule="auto"/>
        <w:jc w:val="both"/>
        <w:rPr>
          <w:rFonts w:ascii="Times New Roman" w:hAnsi="Times New Roman" w:cs="Times New Roman"/>
          <w:sz w:val="24"/>
        </w:rPr>
      </w:pPr>
    </w:p>
    <w:p w:rsidR="00801D62" w:rsidRDefault="00801D62" w:rsidP="00801D62">
      <w:pPr>
        <w:spacing w:line="360" w:lineRule="auto"/>
        <w:jc w:val="both"/>
        <w:rPr>
          <w:rFonts w:ascii="Times New Roman" w:hAnsi="Times New Roman" w:cs="Times New Roman"/>
          <w:sz w:val="24"/>
        </w:rPr>
      </w:pPr>
    </w:p>
    <w:p w:rsidR="00801D62" w:rsidRDefault="00801D62" w:rsidP="00801D62">
      <w:pPr>
        <w:spacing w:line="360" w:lineRule="auto"/>
        <w:jc w:val="both"/>
        <w:rPr>
          <w:rFonts w:ascii="Times New Roman" w:hAnsi="Times New Roman" w:cs="Times New Roman"/>
          <w:sz w:val="24"/>
        </w:rPr>
      </w:pPr>
    </w:p>
    <w:p w:rsidR="00B75CFD" w:rsidRPr="00E96625" w:rsidRDefault="00B75CFD" w:rsidP="00801D62">
      <w:pPr>
        <w:spacing w:line="360" w:lineRule="auto"/>
        <w:jc w:val="both"/>
        <w:rPr>
          <w:rFonts w:ascii="Times New Roman" w:hAnsi="Times New Roman" w:cs="Times New Roman"/>
          <w:b/>
          <w:sz w:val="28"/>
        </w:rPr>
      </w:pPr>
      <w:r w:rsidRPr="00E96625">
        <w:rPr>
          <w:rFonts w:ascii="Times New Roman" w:hAnsi="Times New Roman" w:cs="Times New Roman"/>
          <w:b/>
          <w:sz w:val="28"/>
        </w:rPr>
        <w:lastRenderedPageBreak/>
        <w:t>CONCLUSIONES</w:t>
      </w:r>
    </w:p>
    <w:p w:rsidR="00B75CFD" w:rsidRPr="00E96625" w:rsidRDefault="00B75CFD" w:rsidP="00801D62">
      <w:pPr>
        <w:spacing w:line="360" w:lineRule="auto"/>
        <w:jc w:val="both"/>
        <w:rPr>
          <w:rFonts w:ascii="Times New Roman" w:hAnsi="Times New Roman" w:cs="Times New Roman"/>
          <w:sz w:val="24"/>
        </w:rPr>
      </w:pPr>
      <w:r w:rsidRPr="00E96625">
        <w:rPr>
          <w:rFonts w:ascii="Times New Roman" w:hAnsi="Times New Roman" w:cs="Times New Roman"/>
          <w:sz w:val="24"/>
        </w:rPr>
        <w:t>Se concluye que:</w:t>
      </w:r>
    </w:p>
    <w:p w:rsidR="00B75CFD" w:rsidRPr="00E96625" w:rsidRDefault="00D75A57" w:rsidP="00801D62">
      <w:pPr>
        <w:pStyle w:val="Prrafodelista"/>
        <w:numPr>
          <w:ilvl w:val="0"/>
          <w:numId w:val="4"/>
        </w:numPr>
        <w:autoSpaceDE w:val="0"/>
        <w:autoSpaceDN w:val="0"/>
        <w:adjustRightInd w:val="0"/>
        <w:spacing w:after="0" w:line="360" w:lineRule="auto"/>
        <w:jc w:val="both"/>
        <w:rPr>
          <w:rFonts w:ascii="Times New Roman" w:hAnsi="Times New Roman" w:cs="Times New Roman"/>
          <w:sz w:val="24"/>
          <w:szCs w:val="24"/>
        </w:rPr>
      </w:pPr>
      <w:r w:rsidRPr="00E96625">
        <w:rPr>
          <w:rFonts w:ascii="Times New Roman" w:hAnsi="Times New Roman" w:cs="Times New Roman"/>
          <w:sz w:val="24"/>
          <w:szCs w:val="24"/>
        </w:rPr>
        <w:t>Las NIIF</w:t>
      </w:r>
      <w:r w:rsidR="006B00D4" w:rsidRPr="00E96625">
        <w:rPr>
          <w:rFonts w:ascii="Times New Roman" w:hAnsi="Times New Roman" w:cs="Times New Roman"/>
          <w:sz w:val="24"/>
          <w:szCs w:val="24"/>
        </w:rPr>
        <w:t>, los principios y las limitaciones</w:t>
      </w:r>
      <w:r w:rsidRPr="00E96625">
        <w:rPr>
          <w:rFonts w:ascii="Times New Roman" w:hAnsi="Times New Roman" w:cs="Times New Roman"/>
          <w:sz w:val="24"/>
          <w:szCs w:val="24"/>
        </w:rPr>
        <w:t xml:space="preserve"> están diseñadas para ser aplicadas en los estados financieros con</w:t>
      </w:r>
      <w:r w:rsidR="006B00D4" w:rsidRPr="00E96625">
        <w:rPr>
          <w:rFonts w:ascii="Times New Roman" w:hAnsi="Times New Roman" w:cs="Times New Roman"/>
          <w:sz w:val="24"/>
          <w:szCs w:val="24"/>
        </w:rPr>
        <w:t xml:space="preserve"> </w:t>
      </w:r>
      <w:r w:rsidRPr="00E96625">
        <w:rPr>
          <w:rFonts w:ascii="Times New Roman" w:hAnsi="Times New Roman" w:cs="Times New Roman"/>
          <w:sz w:val="24"/>
          <w:szCs w:val="24"/>
        </w:rPr>
        <w:t xml:space="preserve">propósito </w:t>
      </w:r>
      <w:r w:rsidR="006B00D4" w:rsidRPr="00E96625">
        <w:rPr>
          <w:rFonts w:ascii="Times New Roman" w:hAnsi="Times New Roman" w:cs="Times New Roman"/>
          <w:sz w:val="24"/>
          <w:szCs w:val="24"/>
        </w:rPr>
        <w:t>de proporcionar información financiera de una entidad.</w:t>
      </w:r>
      <w:r w:rsidRPr="00E96625">
        <w:rPr>
          <w:rFonts w:ascii="Times New Roman" w:hAnsi="Times New Roman" w:cs="Times New Roman"/>
          <w:sz w:val="24"/>
          <w:szCs w:val="24"/>
        </w:rPr>
        <w:t xml:space="preserve"> </w:t>
      </w:r>
    </w:p>
    <w:p w:rsidR="006B00D4" w:rsidRPr="00E96625" w:rsidRDefault="006B00D4" w:rsidP="00801D62">
      <w:pPr>
        <w:pStyle w:val="Prrafodelista"/>
        <w:autoSpaceDE w:val="0"/>
        <w:autoSpaceDN w:val="0"/>
        <w:adjustRightInd w:val="0"/>
        <w:spacing w:after="0" w:line="360" w:lineRule="auto"/>
        <w:jc w:val="both"/>
        <w:rPr>
          <w:rFonts w:ascii="Times New Roman" w:hAnsi="Times New Roman" w:cs="Times New Roman"/>
          <w:sz w:val="24"/>
          <w:szCs w:val="24"/>
        </w:rPr>
      </w:pPr>
    </w:p>
    <w:p w:rsidR="00B75CFD" w:rsidRPr="00E96625" w:rsidRDefault="006B00D4" w:rsidP="00801D62">
      <w:pPr>
        <w:pStyle w:val="Prrafodelista"/>
        <w:numPr>
          <w:ilvl w:val="0"/>
          <w:numId w:val="4"/>
        </w:numPr>
        <w:autoSpaceDE w:val="0"/>
        <w:autoSpaceDN w:val="0"/>
        <w:adjustRightInd w:val="0"/>
        <w:spacing w:after="0" w:line="360" w:lineRule="auto"/>
        <w:jc w:val="both"/>
        <w:rPr>
          <w:rFonts w:ascii="Times New Roman" w:hAnsi="Times New Roman" w:cs="Times New Roman"/>
          <w:sz w:val="24"/>
          <w:szCs w:val="24"/>
        </w:rPr>
      </w:pPr>
      <w:r w:rsidRPr="00E96625">
        <w:rPr>
          <w:rFonts w:ascii="Times New Roman" w:hAnsi="Times New Roman" w:cs="Times New Roman"/>
          <w:sz w:val="24"/>
          <w:szCs w:val="24"/>
        </w:rPr>
        <w:t xml:space="preserve">El objetivo de los estados financieros es suministrar información sobre la </w:t>
      </w:r>
      <w:r w:rsidRPr="00E96625">
        <w:rPr>
          <w:rFonts w:ascii="Times New Roman" w:hAnsi="Times New Roman" w:cs="Times New Roman"/>
          <w:bCs/>
          <w:sz w:val="24"/>
          <w:szCs w:val="24"/>
        </w:rPr>
        <w:t>situación financiera, el</w:t>
      </w:r>
      <w:r w:rsidRPr="00E96625">
        <w:rPr>
          <w:rFonts w:ascii="Times New Roman" w:hAnsi="Times New Roman" w:cs="Times New Roman"/>
          <w:sz w:val="24"/>
          <w:szCs w:val="24"/>
        </w:rPr>
        <w:t xml:space="preserve"> </w:t>
      </w:r>
      <w:r w:rsidRPr="00E96625">
        <w:rPr>
          <w:rFonts w:ascii="Times New Roman" w:hAnsi="Times New Roman" w:cs="Times New Roman"/>
          <w:bCs/>
          <w:sz w:val="24"/>
          <w:szCs w:val="24"/>
        </w:rPr>
        <w:t xml:space="preserve">rendimiento </w:t>
      </w:r>
      <w:r w:rsidRPr="00E96625">
        <w:rPr>
          <w:rFonts w:ascii="Times New Roman" w:hAnsi="Times New Roman" w:cs="Times New Roman"/>
          <w:sz w:val="24"/>
          <w:szCs w:val="24"/>
        </w:rPr>
        <w:t xml:space="preserve">y </w:t>
      </w:r>
      <w:r w:rsidRPr="00E96625">
        <w:rPr>
          <w:rFonts w:ascii="Times New Roman" w:hAnsi="Times New Roman" w:cs="Times New Roman"/>
          <w:bCs/>
          <w:sz w:val="24"/>
          <w:szCs w:val="24"/>
        </w:rPr>
        <w:t xml:space="preserve">los flujos de efectivo </w:t>
      </w:r>
      <w:r w:rsidRPr="00E96625">
        <w:rPr>
          <w:rFonts w:ascii="Times New Roman" w:hAnsi="Times New Roman" w:cs="Times New Roman"/>
          <w:sz w:val="24"/>
          <w:szCs w:val="24"/>
        </w:rPr>
        <w:t>de una entidad, que sea útil para los usuarios al momento de tomar decisiones económicas.</w:t>
      </w:r>
    </w:p>
    <w:p w:rsidR="006B00D4" w:rsidRPr="00E96625" w:rsidRDefault="006B00D4" w:rsidP="00801D62">
      <w:pPr>
        <w:autoSpaceDE w:val="0"/>
        <w:autoSpaceDN w:val="0"/>
        <w:adjustRightInd w:val="0"/>
        <w:spacing w:after="0" w:line="360" w:lineRule="auto"/>
        <w:jc w:val="both"/>
        <w:rPr>
          <w:rFonts w:ascii="Times New Roman" w:hAnsi="Times New Roman" w:cs="Times New Roman"/>
          <w:sz w:val="24"/>
          <w:szCs w:val="24"/>
        </w:rPr>
      </w:pPr>
    </w:p>
    <w:p w:rsidR="00B75CFD" w:rsidRPr="00E96625" w:rsidRDefault="00ED11C8" w:rsidP="00801D62">
      <w:pPr>
        <w:pStyle w:val="Prrafodelista"/>
        <w:numPr>
          <w:ilvl w:val="0"/>
          <w:numId w:val="4"/>
        </w:numPr>
        <w:spacing w:line="360" w:lineRule="auto"/>
        <w:jc w:val="both"/>
        <w:rPr>
          <w:rFonts w:ascii="Times New Roman" w:hAnsi="Times New Roman" w:cs="Times New Roman"/>
          <w:sz w:val="24"/>
        </w:rPr>
      </w:pPr>
      <w:r w:rsidRPr="00E96625">
        <w:rPr>
          <w:rFonts w:ascii="Times New Roman" w:hAnsi="Times New Roman" w:cs="Times New Roman"/>
          <w:sz w:val="24"/>
        </w:rPr>
        <w:t>Mediante la elaboración de este material se pudo identificar las normas que contribuyen en la preparación de información financiera, las mismas que están desarrolladas de acuerdo a los principios de transparencia, claridad y globalidad.</w:t>
      </w:r>
    </w:p>
    <w:p w:rsidR="00ED11C8" w:rsidRPr="00E96625" w:rsidRDefault="00ED11C8" w:rsidP="00801D62">
      <w:pPr>
        <w:pStyle w:val="Prrafodelista"/>
        <w:spacing w:line="360" w:lineRule="auto"/>
        <w:jc w:val="both"/>
        <w:rPr>
          <w:rFonts w:ascii="Times New Roman" w:hAnsi="Times New Roman" w:cs="Times New Roman"/>
          <w:sz w:val="24"/>
        </w:rPr>
      </w:pPr>
    </w:p>
    <w:p w:rsidR="00ED11C8" w:rsidRPr="00E96625" w:rsidRDefault="00ED11C8" w:rsidP="00801D62">
      <w:pPr>
        <w:pStyle w:val="Prrafodelista"/>
        <w:spacing w:line="360" w:lineRule="auto"/>
        <w:jc w:val="both"/>
        <w:rPr>
          <w:rFonts w:ascii="Times New Roman" w:hAnsi="Times New Roman" w:cs="Times New Roman"/>
          <w:sz w:val="24"/>
        </w:rPr>
      </w:pPr>
    </w:p>
    <w:p w:rsidR="00B75CFD" w:rsidRPr="00E96625" w:rsidRDefault="00B75CFD" w:rsidP="00801D62">
      <w:pPr>
        <w:spacing w:line="360" w:lineRule="auto"/>
        <w:jc w:val="both"/>
        <w:rPr>
          <w:rFonts w:ascii="Times New Roman" w:hAnsi="Times New Roman" w:cs="Times New Roman"/>
          <w:b/>
          <w:sz w:val="28"/>
        </w:rPr>
      </w:pPr>
      <w:r w:rsidRPr="00E96625">
        <w:rPr>
          <w:rFonts w:ascii="Times New Roman" w:hAnsi="Times New Roman" w:cs="Times New Roman"/>
          <w:b/>
          <w:sz w:val="28"/>
        </w:rPr>
        <w:t>RECOMENDACIONES</w:t>
      </w:r>
    </w:p>
    <w:p w:rsidR="00B75CFD" w:rsidRPr="00E96625" w:rsidRDefault="00B75CFD" w:rsidP="00801D62">
      <w:pPr>
        <w:spacing w:line="360" w:lineRule="auto"/>
        <w:jc w:val="both"/>
        <w:rPr>
          <w:rFonts w:ascii="Times New Roman" w:hAnsi="Times New Roman" w:cs="Times New Roman"/>
          <w:sz w:val="24"/>
        </w:rPr>
      </w:pPr>
      <w:r w:rsidRPr="00E96625">
        <w:rPr>
          <w:rFonts w:ascii="Times New Roman" w:hAnsi="Times New Roman" w:cs="Times New Roman"/>
          <w:sz w:val="24"/>
        </w:rPr>
        <w:t>Se recomienda que:</w:t>
      </w:r>
    </w:p>
    <w:p w:rsidR="00B42282" w:rsidRPr="00E96625" w:rsidRDefault="00B42282" w:rsidP="00801D62">
      <w:pPr>
        <w:pStyle w:val="Prrafodelista"/>
        <w:numPr>
          <w:ilvl w:val="0"/>
          <w:numId w:val="5"/>
        </w:numPr>
        <w:spacing w:line="360" w:lineRule="auto"/>
        <w:jc w:val="both"/>
        <w:rPr>
          <w:rFonts w:ascii="Times New Roman" w:hAnsi="Times New Roman" w:cs="Times New Roman"/>
          <w:b/>
          <w:sz w:val="28"/>
        </w:rPr>
      </w:pPr>
      <w:r w:rsidRPr="00E96625">
        <w:rPr>
          <w:rFonts w:ascii="Times New Roman" w:hAnsi="Times New Roman" w:cs="Times New Roman"/>
          <w:sz w:val="24"/>
        </w:rPr>
        <w:t>Los usuarios antes de preparar una información financiera se deben orientarse de las normas antes mencionadas las cuales facilitarán su elaboración.</w:t>
      </w:r>
    </w:p>
    <w:p w:rsidR="00E96625" w:rsidRPr="00E96625" w:rsidRDefault="00E96625" w:rsidP="00801D62">
      <w:pPr>
        <w:pStyle w:val="Prrafodelista"/>
        <w:spacing w:line="360" w:lineRule="auto"/>
        <w:jc w:val="both"/>
        <w:rPr>
          <w:rFonts w:ascii="Times New Roman" w:hAnsi="Times New Roman" w:cs="Times New Roman"/>
          <w:b/>
          <w:sz w:val="28"/>
        </w:rPr>
      </w:pPr>
    </w:p>
    <w:p w:rsidR="00B42282" w:rsidRPr="00E96625" w:rsidRDefault="00B42282" w:rsidP="00801D62">
      <w:pPr>
        <w:pStyle w:val="Prrafodelista"/>
        <w:numPr>
          <w:ilvl w:val="0"/>
          <w:numId w:val="5"/>
        </w:numPr>
        <w:autoSpaceDE w:val="0"/>
        <w:autoSpaceDN w:val="0"/>
        <w:adjustRightInd w:val="0"/>
        <w:spacing w:after="0" w:line="360" w:lineRule="auto"/>
        <w:jc w:val="both"/>
        <w:rPr>
          <w:rFonts w:ascii="Times New Roman" w:hAnsi="Times New Roman" w:cs="Times New Roman"/>
          <w:sz w:val="24"/>
          <w:szCs w:val="24"/>
        </w:rPr>
      </w:pPr>
      <w:r w:rsidRPr="00E96625">
        <w:rPr>
          <w:rFonts w:ascii="Times New Roman" w:hAnsi="Times New Roman" w:cs="Times New Roman"/>
          <w:sz w:val="24"/>
          <w:szCs w:val="24"/>
        </w:rPr>
        <w:t>En una entidad se debe llevar actualizada la información proporcionada en los estados financieros ya que es relevante para la toma de decisiones.</w:t>
      </w:r>
    </w:p>
    <w:p w:rsidR="00B42282" w:rsidRPr="00E96625" w:rsidRDefault="00B42282" w:rsidP="00801D62">
      <w:pPr>
        <w:pStyle w:val="Prrafodelista"/>
        <w:autoSpaceDE w:val="0"/>
        <w:autoSpaceDN w:val="0"/>
        <w:adjustRightInd w:val="0"/>
        <w:spacing w:after="0" w:line="360" w:lineRule="auto"/>
        <w:jc w:val="both"/>
        <w:rPr>
          <w:rFonts w:ascii="Times New Roman" w:hAnsi="Times New Roman" w:cs="Times New Roman"/>
          <w:sz w:val="24"/>
          <w:szCs w:val="24"/>
        </w:rPr>
      </w:pPr>
    </w:p>
    <w:p w:rsidR="00B75CFD" w:rsidRDefault="00B42282" w:rsidP="00801D62">
      <w:pPr>
        <w:pStyle w:val="Prrafodelista"/>
        <w:numPr>
          <w:ilvl w:val="0"/>
          <w:numId w:val="5"/>
        </w:numPr>
        <w:spacing w:line="360" w:lineRule="auto"/>
        <w:jc w:val="both"/>
        <w:rPr>
          <w:rFonts w:ascii="Times New Roman" w:hAnsi="Times New Roman" w:cs="Times New Roman"/>
          <w:sz w:val="24"/>
          <w:szCs w:val="24"/>
        </w:rPr>
      </w:pPr>
      <w:r w:rsidRPr="00E96625">
        <w:rPr>
          <w:rFonts w:ascii="Times New Roman" w:hAnsi="Times New Roman" w:cs="Times New Roman"/>
          <w:sz w:val="24"/>
          <w:szCs w:val="24"/>
        </w:rPr>
        <w:t xml:space="preserve">Para elaboración de los estados financieros </w:t>
      </w:r>
      <w:r w:rsidR="00E96625" w:rsidRPr="00E96625">
        <w:rPr>
          <w:rFonts w:ascii="Times New Roman" w:hAnsi="Times New Roman" w:cs="Times New Roman"/>
          <w:sz w:val="24"/>
          <w:szCs w:val="24"/>
        </w:rPr>
        <w:t>se debe aplicar todos los parámetros que estipulan las normas, principios, limitaciones para obtener una información de calidad.</w:t>
      </w:r>
    </w:p>
    <w:p w:rsidR="00E96625" w:rsidRPr="00E96625" w:rsidRDefault="00E96625" w:rsidP="00801D62">
      <w:pPr>
        <w:pStyle w:val="Prrafodelista"/>
        <w:spacing w:line="360" w:lineRule="auto"/>
        <w:rPr>
          <w:rFonts w:ascii="Times New Roman" w:hAnsi="Times New Roman" w:cs="Times New Roman"/>
          <w:sz w:val="24"/>
          <w:szCs w:val="24"/>
        </w:rPr>
      </w:pPr>
    </w:p>
    <w:p w:rsidR="00B75CFD" w:rsidRDefault="00B75CFD" w:rsidP="00801D62">
      <w:pPr>
        <w:spacing w:line="360" w:lineRule="auto"/>
        <w:jc w:val="both"/>
        <w:rPr>
          <w:rFonts w:ascii="Times New Roman" w:hAnsi="Times New Roman" w:cs="Times New Roman"/>
          <w:sz w:val="28"/>
        </w:rPr>
      </w:pPr>
    </w:p>
    <w:p w:rsidR="00204CEA" w:rsidRDefault="00B75CFD" w:rsidP="00801D62">
      <w:pPr>
        <w:spacing w:line="360" w:lineRule="auto"/>
        <w:jc w:val="both"/>
        <w:rPr>
          <w:rFonts w:ascii="Times New Roman" w:hAnsi="Times New Roman" w:cs="Times New Roman"/>
          <w:b/>
          <w:sz w:val="28"/>
        </w:rPr>
      </w:pPr>
      <w:r w:rsidRPr="00B75CFD">
        <w:rPr>
          <w:rFonts w:ascii="Times New Roman" w:hAnsi="Times New Roman" w:cs="Times New Roman"/>
          <w:b/>
          <w:sz w:val="28"/>
        </w:rPr>
        <w:lastRenderedPageBreak/>
        <w:t>BIBLIOGRAFÍA</w:t>
      </w:r>
    </w:p>
    <w:p w:rsidR="00204CEA" w:rsidRPr="00EF6EF7" w:rsidRDefault="00204CEA" w:rsidP="00801D62">
      <w:pPr>
        <w:pStyle w:val="Bibliografa"/>
        <w:spacing w:line="360" w:lineRule="auto"/>
        <w:ind w:left="720" w:hanging="720"/>
        <w:rPr>
          <w:rFonts w:ascii="Times New Roman" w:hAnsi="Times New Roman" w:cs="Times New Roman"/>
          <w:noProof/>
          <w:sz w:val="24"/>
          <w:szCs w:val="24"/>
        </w:rPr>
      </w:pPr>
      <w:r>
        <w:rPr>
          <w:rFonts w:ascii="Times New Roman" w:hAnsi="Times New Roman" w:cs="Times New Roman"/>
          <w:b/>
          <w:sz w:val="28"/>
        </w:rPr>
        <w:fldChar w:fldCharType="begin"/>
      </w:r>
      <w:r>
        <w:rPr>
          <w:rFonts w:ascii="Times New Roman" w:hAnsi="Times New Roman" w:cs="Times New Roman"/>
          <w:b/>
          <w:sz w:val="28"/>
        </w:rPr>
        <w:instrText xml:space="preserve"> BIBLIOGRAPHY  \l 12298 </w:instrText>
      </w:r>
      <w:r>
        <w:rPr>
          <w:rFonts w:ascii="Times New Roman" w:hAnsi="Times New Roman" w:cs="Times New Roman"/>
          <w:b/>
          <w:sz w:val="28"/>
        </w:rPr>
        <w:fldChar w:fldCharType="separate"/>
      </w:r>
      <w:r w:rsidRPr="00EF6EF7">
        <w:rPr>
          <w:rFonts w:ascii="Times New Roman" w:hAnsi="Times New Roman" w:cs="Times New Roman"/>
          <w:noProof/>
          <w:sz w:val="24"/>
          <w:szCs w:val="24"/>
        </w:rPr>
        <w:t xml:space="preserve">Bravo Valdivieso, M. (2011). </w:t>
      </w:r>
      <w:r w:rsidRPr="00EF6EF7">
        <w:rPr>
          <w:rFonts w:ascii="Times New Roman" w:hAnsi="Times New Roman" w:cs="Times New Roman"/>
          <w:iCs/>
          <w:noProof/>
          <w:sz w:val="24"/>
          <w:szCs w:val="24"/>
        </w:rPr>
        <w:t>Contabilidad General.</w:t>
      </w:r>
      <w:r w:rsidRPr="00EF6EF7">
        <w:rPr>
          <w:rFonts w:ascii="Times New Roman" w:hAnsi="Times New Roman" w:cs="Times New Roman"/>
          <w:noProof/>
          <w:sz w:val="24"/>
          <w:szCs w:val="24"/>
        </w:rPr>
        <w:t xml:space="preserve"> Quito- Ecuador: Escobar.</w:t>
      </w:r>
    </w:p>
    <w:p w:rsidR="00EF6EF7" w:rsidRPr="00EF6EF7" w:rsidRDefault="00EF6EF7" w:rsidP="00801D62">
      <w:pPr>
        <w:pStyle w:val="Bibliografa"/>
        <w:spacing w:line="360" w:lineRule="auto"/>
        <w:rPr>
          <w:rFonts w:ascii="Times New Roman" w:hAnsi="Times New Roman" w:cs="Times New Roman"/>
          <w:noProof/>
          <w:sz w:val="24"/>
          <w:szCs w:val="24"/>
        </w:rPr>
      </w:pPr>
      <w:r w:rsidRPr="00EF6EF7">
        <w:rPr>
          <w:rFonts w:ascii="Times New Roman" w:hAnsi="Times New Roman" w:cs="Times New Roman"/>
          <w:noProof/>
          <w:sz w:val="24"/>
          <w:szCs w:val="24"/>
        </w:rPr>
        <w:t xml:space="preserve">Cifuentes, J. P. (1999). </w:t>
      </w:r>
      <w:r w:rsidRPr="00EF6EF7">
        <w:rPr>
          <w:rFonts w:ascii="Times New Roman" w:hAnsi="Times New Roman" w:cs="Times New Roman"/>
          <w:iCs/>
          <w:noProof/>
          <w:sz w:val="24"/>
          <w:szCs w:val="24"/>
        </w:rPr>
        <w:t>Análisis Financiero.</w:t>
      </w:r>
      <w:r w:rsidRPr="00EF6EF7">
        <w:rPr>
          <w:rFonts w:ascii="Times New Roman" w:hAnsi="Times New Roman" w:cs="Times New Roman"/>
          <w:noProof/>
          <w:sz w:val="24"/>
          <w:szCs w:val="24"/>
        </w:rPr>
        <w:t xml:space="preserve"> Santa Fé de Bogotá: Fundación Universitaria San Martín.</w:t>
      </w:r>
    </w:p>
    <w:p w:rsidR="00EF6EF7" w:rsidRPr="00EF6EF7" w:rsidRDefault="00EF6EF7" w:rsidP="00801D62">
      <w:pPr>
        <w:spacing w:line="360" w:lineRule="auto"/>
      </w:pPr>
    </w:p>
    <w:p w:rsidR="00B75CFD" w:rsidRPr="00B75CFD" w:rsidRDefault="00204CEA" w:rsidP="00801D62">
      <w:pPr>
        <w:tabs>
          <w:tab w:val="left" w:pos="1860"/>
        </w:tabs>
        <w:spacing w:line="360" w:lineRule="auto"/>
        <w:jc w:val="both"/>
        <w:rPr>
          <w:rFonts w:ascii="Times New Roman" w:hAnsi="Times New Roman" w:cs="Times New Roman"/>
          <w:b/>
          <w:sz w:val="28"/>
        </w:rPr>
      </w:pPr>
      <w:r>
        <w:rPr>
          <w:rFonts w:ascii="Times New Roman" w:hAnsi="Times New Roman" w:cs="Times New Roman"/>
          <w:b/>
          <w:sz w:val="28"/>
        </w:rPr>
        <w:fldChar w:fldCharType="end"/>
      </w:r>
      <w:bookmarkStart w:id="0" w:name="_GoBack"/>
      <w:bookmarkEnd w:id="0"/>
    </w:p>
    <w:sectPr w:rsidR="00B75CFD" w:rsidRPr="00B75CFD">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Liberation Serif">
    <w:altName w:val="Times New Roman"/>
    <w:charset w:val="00"/>
    <w:family w:val="roman"/>
    <w:pitch w:val="default"/>
  </w:font>
  <w:font w:name="WenQuanYi Micro Hei">
    <w:altName w:val="Times New Roman"/>
    <w:charset w:val="00"/>
    <w:family w:val="auto"/>
    <w:pitch w:val="variable"/>
  </w:font>
  <w:font w:name="Lohit Hindi">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0B3"/>
    <w:multiLevelType w:val="multilevel"/>
    <w:tmpl w:val="352E7658"/>
    <w:lvl w:ilvl="0">
      <w:start w:val="1"/>
      <w:numFmt w:val="bullet"/>
      <w:lvlText w:val=""/>
      <w:lvlJc w:val="left"/>
      <w:pPr>
        <w:ind w:left="720" w:hanging="360"/>
      </w:pPr>
      <w:rPr>
        <w:rFonts w:ascii="Wingdings" w:hAnsi="Wingdings"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nsid w:val="011819D8"/>
    <w:multiLevelType w:val="hybridMultilevel"/>
    <w:tmpl w:val="B504D820"/>
    <w:lvl w:ilvl="0" w:tplc="300A0009">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
    <w:nsid w:val="033943A5"/>
    <w:multiLevelType w:val="hybridMultilevel"/>
    <w:tmpl w:val="AA90C8AC"/>
    <w:lvl w:ilvl="0" w:tplc="189C91E8">
      <w:start w:val="1"/>
      <w:numFmt w:val="lowerLetter"/>
      <w:lvlText w:val="%1)"/>
      <w:lvlJc w:val="left"/>
      <w:pPr>
        <w:ind w:left="1080" w:hanging="360"/>
      </w:pPr>
      <w:rPr>
        <w:rFonts w:hint="default"/>
        <w:b/>
      </w:rPr>
    </w:lvl>
    <w:lvl w:ilvl="1" w:tplc="300A0019" w:tentative="1">
      <w:start w:val="1"/>
      <w:numFmt w:val="lowerLetter"/>
      <w:lvlText w:val="%2."/>
      <w:lvlJc w:val="left"/>
      <w:pPr>
        <w:ind w:left="1800" w:hanging="360"/>
      </w:pPr>
    </w:lvl>
    <w:lvl w:ilvl="2" w:tplc="300A001B" w:tentative="1">
      <w:start w:val="1"/>
      <w:numFmt w:val="lowerRoman"/>
      <w:lvlText w:val="%3."/>
      <w:lvlJc w:val="right"/>
      <w:pPr>
        <w:ind w:left="2520" w:hanging="180"/>
      </w:pPr>
    </w:lvl>
    <w:lvl w:ilvl="3" w:tplc="300A000F" w:tentative="1">
      <w:start w:val="1"/>
      <w:numFmt w:val="decimal"/>
      <w:lvlText w:val="%4."/>
      <w:lvlJc w:val="left"/>
      <w:pPr>
        <w:ind w:left="3240" w:hanging="360"/>
      </w:pPr>
    </w:lvl>
    <w:lvl w:ilvl="4" w:tplc="300A0019" w:tentative="1">
      <w:start w:val="1"/>
      <w:numFmt w:val="lowerLetter"/>
      <w:lvlText w:val="%5."/>
      <w:lvlJc w:val="left"/>
      <w:pPr>
        <w:ind w:left="3960" w:hanging="360"/>
      </w:pPr>
    </w:lvl>
    <w:lvl w:ilvl="5" w:tplc="300A001B" w:tentative="1">
      <w:start w:val="1"/>
      <w:numFmt w:val="lowerRoman"/>
      <w:lvlText w:val="%6."/>
      <w:lvlJc w:val="right"/>
      <w:pPr>
        <w:ind w:left="4680" w:hanging="180"/>
      </w:pPr>
    </w:lvl>
    <w:lvl w:ilvl="6" w:tplc="300A000F" w:tentative="1">
      <w:start w:val="1"/>
      <w:numFmt w:val="decimal"/>
      <w:lvlText w:val="%7."/>
      <w:lvlJc w:val="left"/>
      <w:pPr>
        <w:ind w:left="5400" w:hanging="360"/>
      </w:pPr>
    </w:lvl>
    <w:lvl w:ilvl="7" w:tplc="300A0019" w:tentative="1">
      <w:start w:val="1"/>
      <w:numFmt w:val="lowerLetter"/>
      <w:lvlText w:val="%8."/>
      <w:lvlJc w:val="left"/>
      <w:pPr>
        <w:ind w:left="6120" w:hanging="360"/>
      </w:pPr>
    </w:lvl>
    <w:lvl w:ilvl="8" w:tplc="300A001B" w:tentative="1">
      <w:start w:val="1"/>
      <w:numFmt w:val="lowerRoman"/>
      <w:lvlText w:val="%9."/>
      <w:lvlJc w:val="right"/>
      <w:pPr>
        <w:ind w:left="6840" w:hanging="180"/>
      </w:pPr>
    </w:lvl>
  </w:abstractNum>
  <w:abstractNum w:abstractNumId="3">
    <w:nsid w:val="0509571A"/>
    <w:multiLevelType w:val="hybridMultilevel"/>
    <w:tmpl w:val="AA8C2F02"/>
    <w:lvl w:ilvl="0" w:tplc="189C91E8">
      <w:start w:val="1"/>
      <w:numFmt w:val="lowerLetter"/>
      <w:lvlText w:val="%1)"/>
      <w:lvlJc w:val="left"/>
      <w:pPr>
        <w:ind w:left="720" w:hanging="360"/>
      </w:pPr>
      <w:rPr>
        <w:rFonts w:hint="default"/>
        <w:b/>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4">
    <w:nsid w:val="0631393A"/>
    <w:multiLevelType w:val="hybridMultilevel"/>
    <w:tmpl w:val="52DE8510"/>
    <w:lvl w:ilvl="0" w:tplc="189C91E8">
      <w:start w:val="1"/>
      <w:numFmt w:val="lowerLetter"/>
      <w:lvlText w:val="%1)"/>
      <w:lvlJc w:val="left"/>
      <w:pPr>
        <w:ind w:left="720" w:hanging="360"/>
      </w:pPr>
      <w:rPr>
        <w:rFonts w:hint="default"/>
        <w:b/>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5">
    <w:nsid w:val="07015102"/>
    <w:multiLevelType w:val="hybridMultilevel"/>
    <w:tmpl w:val="05480E5E"/>
    <w:lvl w:ilvl="0" w:tplc="82EAB268">
      <w:start w:val="1"/>
      <w:numFmt w:val="bullet"/>
      <w:lvlText w:val="♠"/>
      <w:lvlJc w:val="left"/>
      <w:pPr>
        <w:ind w:left="720" w:hanging="360"/>
      </w:pPr>
      <w:rPr>
        <w:rFonts w:ascii="Courier New" w:hAnsi="Courier New" w:hint="default"/>
        <w:color w:val="C00000"/>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6">
    <w:nsid w:val="083A5CEB"/>
    <w:multiLevelType w:val="hybridMultilevel"/>
    <w:tmpl w:val="F97CA11A"/>
    <w:lvl w:ilvl="0" w:tplc="93440618">
      <w:start w:val="1"/>
      <w:numFmt w:val="bullet"/>
      <w:lvlText w:val="♠"/>
      <w:lvlJc w:val="left"/>
      <w:pPr>
        <w:ind w:left="720" w:hanging="360"/>
      </w:pPr>
      <w:rPr>
        <w:rFonts w:ascii="Courier New" w:hAnsi="Courier New"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7">
    <w:nsid w:val="0A1E5522"/>
    <w:multiLevelType w:val="hybridMultilevel"/>
    <w:tmpl w:val="7032AE76"/>
    <w:lvl w:ilvl="0" w:tplc="300A0009">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8">
    <w:nsid w:val="0F6A07E8"/>
    <w:multiLevelType w:val="hybridMultilevel"/>
    <w:tmpl w:val="FE6E7696"/>
    <w:lvl w:ilvl="0" w:tplc="189C91E8">
      <w:start w:val="1"/>
      <w:numFmt w:val="lowerLetter"/>
      <w:lvlText w:val="%1)"/>
      <w:lvlJc w:val="left"/>
      <w:pPr>
        <w:ind w:left="1320" w:hanging="360"/>
      </w:pPr>
      <w:rPr>
        <w:rFonts w:hint="default"/>
        <w:b/>
      </w:rPr>
    </w:lvl>
    <w:lvl w:ilvl="1" w:tplc="300A0019" w:tentative="1">
      <w:start w:val="1"/>
      <w:numFmt w:val="lowerLetter"/>
      <w:lvlText w:val="%2."/>
      <w:lvlJc w:val="left"/>
      <w:pPr>
        <w:ind w:left="2040" w:hanging="360"/>
      </w:pPr>
    </w:lvl>
    <w:lvl w:ilvl="2" w:tplc="300A001B" w:tentative="1">
      <w:start w:val="1"/>
      <w:numFmt w:val="lowerRoman"/>
      <w:lvlText w:val="%3."/>
      <w:lvlJc w:val="right"/>
      <w:pPr>
        <w:ind w:left="2760" w:hanging="180"/>
      </w:pPr>
    </w:lvl>
    <w:lvl w:ilvl="3" w:tplc="300A000F" w:tentative="1">
      <w:start w:val="1"/>
      <w:numFmt w:val="decimal"/>
      <w:lvlText w:val="%4."/>
      <w:lvlJc w:val="left"/>
      <w:pPr>
        <w:ind w:left="3480" w:hanging="360"/>
      </w:pPr>
    </w:lvl>
    <w:lvl w:ilvl="4" w:tplc="300A0019" w:tentative="1">
      <w:start w:val="1"/>
      <w:numFmt w:val="lowerLetter"/>
      <w:lvlText w:val="%5."/>
      <w:lvlJc w:val="left"/>
      <w:pPr>
        <w:ind w:left="4200" w:hanging="360"/>
      </w:pPr>
    </w:lvl>
    <w:lvl w:ilvl="5" w:tplc="300A001B" w:tentative="1">
      <w:start w:val="1"/>
      <w:numFmt w:val="lowerRoman"/>
      <w:lvlText w:val="%6."/>
      <w:lvlJc w:val="right"/>
      <w:pPr>
        <w:ind w:left="4920" w:hanging="180"/>
      </w:pPr>
    </w:lvl>
    <w:lvl w:ilvl="6" w:tplc="300A000F" w:tentative="1">
      <w:start w:val="1"/>
      <w:numFmt w:val="decimal"/>
      <w:lvlText w:val="%7."/>
      <w:lvlJc w:val="left"/>
      <w:pPr>
        <w:ind w:left="5640" w:hanging="360"/>
      </w:pPr>
    </w:lvl>
    <w:lvl w:ilvl="7" w:tplc="300A0019" w:tentative="1">
      <w:start w:val="1"/>
      <w:numFmt w:val="lowerLetter"/>
      <w:lvlText w:val="%8."/>
      <w:lvlJc w:val="left"/>
      <w:pPr>
        <w:ind w:left="6360" w:hanging="360"/>
      </w:pPr>
    </w:lvl>
    <w:lvl w:ilvl="8" w:tplc="300A001B" w:tentative="1">
      <w:start w:val="1"/>
      <w:numFmt w:val="lowerRoman"/>
      <w:lvlText w:val="%9."/>
      <w:lvlJc w:val="right"/>
      <w:pPr>
        <w:ind w:left="7080" w:hanging="180"/>
      </w:pPr>
    </w:lvl>
  </w:abstractNum>
  <w:abstractNum w:abstractNumId="9">
    <w:nsid w:val="0F933645"/>
    <w:multiLevelType w:val="hybridMultilevel"/>
    <w:tmpl w:val="898E7EAC"/>
    <w:lvl w:ilvl="0" w:tplc="189C91E8">
      <w:start w:val="1"/>
      <w:numFmt w:val="lowerLetter"/>
      <w:lvlText w:val="%1)"/>
      <w:lvlJc w:val="left"/>
      <w:pPr>
        <w:ind w:left="720" w:hanging="360"/>
      </w:pPr>
      <w:rPr>
        <w:rFonts w:hint="default"/>
        <w:b/>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0">
    <w:nsid w:val="1271350C"/>
    <w:multiLevelType w:val="hybridMultilevel"/>
    <w:tmpl w:val="130CF452"/>
    <w:lvl w:ilvl="0" w:tplc="300A0009">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1">
    <w:nsid w:val="13A961B7"/>
    <w:multiLevelType w:val="hybridMultilevel"/>
    <w:tmpl w:val="DF1CD260"/>
    <w:lvl w:ilvl="0" w:tplc="334C5802">
      <w:start w:val="1"/>
      <w:numFmt w:val="bullet"/>
      <w:lvlText w:val=""/>
      <w:lvlJc w:val="left"/>
      <w:pPr>
        <w:ind w:left="720" w:hanging="360"/>
      </w:pPr>
      <w:rPr>
        <w:rFonts w:ascii="Wingdings" w:hAnsi="Wingdings" w:hint="default"/>
        <w:color w:val="auto"/>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2">
    <w:nsid w:val="14A12B49"/>
    <w:multiLevelType w:val="hybridMultilevel"/>
    <w:tmpl w:val="A852E482"/>
    <w:lvl w:ilvl="0" w:tplc="300A0009">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3">
    <w:nsid w:val="15F76030"/>
    <w:multiLevelType w:val="hybridMultilevel"/>
    <w:tmpl w:val="E9D415FE"/>
    <w:lvl w:ilvl="0" w:tplc="189C91E8">
      <w:start w:val="1"/>
      <w:numFmt w:val="lowerLetter"/>
      <w:lvlText w:val="%1)"/>
      <w:lvlJc w:val="left"/>
      <w:pPr>
        <w:ind w:left="720" w:hanging="360"/>
      </w:pPr>
      <w:rPr>
        <w:rFonts w:hint="default"/>
        <w:b/>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4">
    <w:nsid w:val="19D403D0"/>
    <w:multiLevelType w:val="hybridMultilevel"/>
    <w:tmpl w:val="E10AEFC4"/>
    <w:lvl w:ilvl="0" w:tplc="82EAB268">
      <w:start w:val="1"/>
      <w:numFmt w:val="bullet"/>
      <w:lvlText w:val="♠"/>
      <w:lvlJc w:val="left"/>
      <w:pPr>
        <w:ind w:left="720" w:hanging="360"/>
      </w:pPr>
      <w:rPr>
        <w:rFonts w:ascii="Courier New" w:hAnsi="Courier New" w:hint="default"/>
        <w:color w:val="C00000"/>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5">
    <w:nsid w:val="1B704BCD"/>
    <w:multiLevelType w:val="hybridMultilevel"/>
    <w:tmpl w:val="780CFA6C"/>
    <w:lvl w:ilvl="0" w:tplc="189C91E8">
      <w:start w:val="1"/>
      <w:numFmt w:val="lowerLetter"/>
      <w:lvlText w:val="%1)"/>
      <w:lvlJc w:val="left"/>
      <w:pPr>
        <w:ind w:left="720" w:hanging="360"/>
      </w:pPr>
      <w:rPr>
        <w:rFonts w:hint="default"/>
        <w:b/>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6">
    <w:nsid w:val="1C435DCB"/>
    <w:multiLevelType w:val="hybridMultilevel"/>
    <w:tmpl w:val="09B0100E"/>
    <w:lvl w:ilvl="0" w:tplc="300A001B">
      <w:start w:val="1"/>
      <w:numFmt w:val="lowerRoman"/>
      <w:lvlText w:val="%1."/>
      <w:lvlJc w:val="right"/>
      <w:pPr>
        <w:ind w:left="1920" w:hanging="360"/>
      </w:pPr>
    </w:lvl>
    <w:lvl w:ilvl="1" w:tplc="300A0019" w:tentative="1">
      <w:start w:val="1"/>
      <w:numFmt w:val="lowerLetter"/>
      <w:lvlText w:val="%2."/>
      <w:lvlJc w:val="left"/>
      <w:pPr>
        <w:ind w:left="2640" w:hanging="360"/>
      </w:pPr>
    </w:lvl>
    <w:lvl w:ilvl="2" w:tplc="300A001B" w:tentative="1">
      <w:start w:val="1"/>
      <w:numFmt w:val="lowerRoman"/>
      <w:lvlText w:val="%3."/>
      <w:lvlJc w:val="right"/>
      <w:pPr>
        <w:ind w:left="3360" w:hanging="180"/>
      </w:pPr>
    </w:lvl>
    <w:lvl w:ilvl="3" w:tplc="300A000F" w:tentative="1">
      <w:start w:val="1"/>
      <w:numFmt w:val="decimal"/>
      <w:lvlText w:val="%4."/>
      <w:lvlJc w:val="left"/>
      <w:pPr>
        <w:ind w:left="4080" w:hanging="360"/>
      </w:pPr>
    </w:lvl>
    <w:lvl w:ilvl="4" w:tplc="300A0019" w:tentative="1">
      <w:start w:val="1"/>
      <w:numFmt w:val="lowerLetter"/>
      <w:lvlText w:val="%5."/>
      <w:lvlJc w:val="left"/>
      <w:pPr>
        <w:ind w:left="4800" w:hanging="360"/>
      </w:pPr>
    </w:lvl>
    <w:lvl w:ilvl="5" w:tplc="300A001B" w:tentative="1">
      <w:start w:val="1"/>
      <w:numFmt w:val="lowerRoman"/>
      <w:lvlText w:val="%6."/>
      <w:lvlJc w:val="right"/>
      <w:pPr>
        <w:ind w:left="5520" w:hanging="180"/>
      </w:pPr>
    </w:lvl>
    <w:lvl w:ilvl="6" w:tplc="300A000F" w:tentative="1">
      <w:start w:val="1"/>
      <w:numFmt w:val="decimal"/>
      <w:lvlText w:val="%7."/>
      <w:lvlJc w:val="left"/>
      <w:pPr>
        <w:ind w:left="6240" w:hanging="360"/>
      </w:pPr>
    </w:lvl>
    <w:lvl w:ilvl="7" w:tplc="300A0019" w:tentative="1">
      <w:start w:val="1"/>
      <w:numFmt w:val="lowerLetter"/>
      <w:lvlText w:val="%8."/>
      <w:lvlJc w:val="left"/>
      <w:pPr>
        <w:ind w:left="6960" w:hanging="360"/>
      </w:pPr>
    </w:lvl>
    <w:lvl w:ilvl="8" w:tplc="300A001B" w:tentative="1">
      <w:start w:val="1"/>
      <w:numFmt w:val="lowerRoman"/>
      <w:lvlText w:val="%9."/>
      <w:lvlJc w:val="right"/>
      <w:pPr>
        <w:ind w:left="7680" w:hanging="180"/>
      </w:pPr>
    </w:lvl>
  </w:abstractNum>
  <w:abstractNum w:abstractNumId="17">
    <w:nsid w:val="220E2369"/>
    <w:multiLevelType w:val="hybridMultilevel"/>
    <w:tmpl w:val="7854966A"/>
    <w:lvl w:ilvl="0" w:tplc="189C91E8">
      <w:start w:val="1"/>
      <w:numFmt w:val="lowerLetter"/>
      <w:lvlText w:val="%1)"/>
      <w:lvlJc w:val="left"/>
      <w:pPr>
        <w:ind w:left="720" w:hanging="360"/>
      </w:pPr>
      <w:rPr>
        <w:rFonts w:hint="default"/>
        <w:b/>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8">
    <w:nsid w:val="29E62626"/>
    <w:multiLevelType w:val="hybridMultilevel"/>
    <w:tmpl w:val="7D048728"/>
    <w:lvl w:ilvl="0" w:tplc="189C91E8">
      <w:start w:val="1"/>
      <w:numFmt w:val="lowerLetter"/>
      <w:lvlText w:val="%1)"/>
      <w:lvlJc w:val="left"/>
      <w:pPr>
        <w:ind w:left="720" w:hanging="360"/>
      </w:pPr>
      <w:rPr>
        <w:rFonts w:hint="default"/>
        <w:b/>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9">
    <w:nsid w:val="2A07110A"/>
    <w:multiLevelType w:val="hybridMultilevel"/>
    <w:tmpl w:val="D94CAFD6"/>
    <w:lvl w:ilvl="0" w:tplc="300A0009">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0">
    <w:nsid w:val="2AE66BAF"/>
    <w:multiLevelType w:val="hybridMultilevel"/>
    <w:tmpl w:val="A05ECDA0"/>
    <w:lvl w:ilvl="0" w:tplc="300A0009">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1">
    <w:nsid w:val="2AEB268F"/>
    <w:multiLevelType w:val="hybridMultilevel"/>
    <w:tmpl w:val="D41AA2AE"/>
    <w:lvl w:ilvl="0" w:tplc="300A000D">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2">
    <w:nsid w:val="30DD4F79"/>
    <w:multiLevelType w:val="hybridMultilevel"/>
    <w:tmpl w:val="5636C9FC"/>
    <w:lvl w:ilvl="0" w:tplc="189C91E8">
      <w:start w:val="1"/>
      <w:numFmt w:val="lowerLetter"/>
      <w:lvlText w:val="%1)"/>
      <w:lvlJc w:val="left"/>
      <w:pPr>
        <w:ind w:left="720" w:hanging="360"/>
      </w:pPr>
      <w:rPr>
        <w:rFonts w:hint="default"/>
        <w:b/>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3">
    <w:nsid w:val="38C5114D"/>
    <w:multiLevelType w:val="hybridMultilevel"/>
    <w:tmpl w:val="B24A4750"/>
    <w:lvl w:ilvl="0" w:tplc="300A000D">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4">
    <w:nsid w:val="39052B78"/>
    <w:multiLevelType w:val="hybridMultilevel"/>
    <w:tmpl w:val="C98C817C"/>
    <w:lvl w:ilvl="0" w:tplc="82EAB268">
      <w:start w:val="1"/>
      <w:numFmt w:val="bullet"/>
      <w:lvlText w:val="♠"/>
      <w:lvlJc w:val="left"/>
      <w:pPr>
        <w:ind w:left="720" w:hanging="360"/>
      </w:pPr>
      <w:rPr>
        <w:rFonts w:ascii="Courier New" w:hAnsi="Courier New" w:hint="default"/>
        <w:color w:val="C00000"/>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5">
    <w:nsid w:val="399B2069"/>
    <w:multiLevelType w:val="hybridMultilevel"/>
    <w:tmpl w:val="560675D8"/>
    <w:lvl w:ilvl="0" w:tplc="300A0009">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6">
    <w:nsid w:val="3A26169E"/>
    <w:multiLevelType w:val="hybridMultilevel"/>
    <w:tmpl w:val="E4705DAC"/>
    <w:lvl w:ilvl="0" w:tplc="300A001B">
      <w:start w:val="1"/>
      <w:numFmt w:val="lowerRoman"/>
      <w:lvlText w:val="%1."/>
      <w:lvlJc w:val="right"/>
      <w:pPr>
        <w:ind w:left="1920" w:hanging="360"/>
      </w:pPr>
    </w:lvl>
    <w:lvl w:ilvl="1" w:tplc="300A0019" w:tentative="1">
      <w:start w:val="1"/>
      <w:numFmt w:val="lowerLetter"/>
      <w:lvlText w:val="%2."/>
      <w:lvlJc w:val="left"/>
      <w:pPr>
        <w:ind w:left="2640" w:hanging="360"/>
      </w:pPr>
    </w:lvl>
    <w:lvl w:ilvl="2" w:tplc="300A001B" w:tentative="1">
      <w:start w:val="1"/>
      <w:numFmt w:val="lowerRoman"/>
      <w:lvlText w:val="%3."/>
      <w:lvlJc w:val="right"/>
      <w:pPr>
        <w:ind w:left="3360" w:hanging="180"/>
      </w:pPr>
    </w:lvl>
    <w:lvl w:ilvl="3" w:tplc="300A000F" w:tentative="1">
      <w:start w:val="1"/>
      <w:numFmt w:val="decimal"/>
      <w:lvlText w:val="%4."/>
      <w:lvlJc w:val="left"/>
      <w:pPr>
        <w:ind w:left="4080" w:hanging="360"/>
      </w:pPr>
    </w:lvl>
    <w:lvl w:ilvl="4" w:tplc="300A0019" w:tentative="1">
      <w:start w:val="1"/>
      <w:numFmt w:val="lowerLetter"/>
      <w:lvlText w:val="%5."/>
      <w:lvlJc w:val="left"/>
      <w:pPr>
        <w:ind w:left="4800" w:hanging="360"/>
      </w:pPr>
    </w:lvl>
    <w:lvl w:ilvl="5" w:tplc="300A001B" w:tentative="1">
      <w:start w:val="1"/>
      <w:numFmt w:val="lowerRoman"/>
      <w:lvlText w:val="%6."/>
      <w:lvlJc w:val="right"/>
      <w:pPr>
        <w:ind w:left="5520" w:hanging="180"/>
      </w:pPr>
    </w:lvl>
    <w:lvl w:ilvl="6" w:tplc="300A000F" w:tentative="1">
      <w:start w:val="1"/>
      <w:numFmt w:val="decimal"/>
      <w:lvlText w:val="%7."/>
      <w:lvlJc w:val="left"/>
      <w:pPr>
        <w:ind w:left="6240" w:hanging="360"/>
      </w:pPr>
    </w:lvl>
    <w:lvl w:ilvl="7" w:tplc="300A0019" w:tentative="1">
      <w:start w:val="1"/>
      <w:numFmt w:val="lowerLetter"/>
      <w:lvlText w:val="%8."/>
      <w:lvlJc w:val="left"/>
      <w:pPr>
        <w:ind w:left="6960" w:hanging="360"/>
      </w:pPr>
    </w:lvl>
    <w:lvl w:ilvl="8" w:tplc="300A001B" w:tentative="1">
      <w:start w:val="1"/>
      <w:numFmt w:val="lowerRoman"/>
      <w:lvlText w:val="%9."/>
      <w:lvlJc w:val="right"/>
      <w:pPr>
        <w:ind w:left="7680" w:hanging="180"/>
      </w:pPr>
    </w:lvl>
  </w:abstractNum>
  <w:abstractNum w:abstractNumId="27">
    <w:nsid w:val="3F7F1B5A"/>
    <w:multiLevelType w:val="hybridMultilevel"/>
    <w:tmpl w:val="FE1ABDBA"/>
    <w:lvl w:ilvl="0" w:tplc="93440618">
      <w:start w:val="1"/>
      <w:numFmt w:val="bullet"/>
      <w:lvlText w:val="♠"/>
      <w:lvlJc w:val="left"/>
      <w:pPr>
        <w:ind w:left="720" w:hanging="360"/>
      </w:pPr>
      <w:rPr>
        <w:rFonts w:ascii="Courier New" w:hAnsi="Courier New"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8">
    <w:nsid w:val="45CB3A07"/>
    <w:multiLevelType w:val="hybridMultilevel"/>
    <w:tmpl w:val="D8FE2BC0"/>
    <w:lvl w:ilvl="0" w:tplc="82EAB268">
      <w:start w:val="1"/>
      <w:numFmt w:val="bullet"/>
      <w:lvlText w:val="♠"/>
      <w:lvlJc w:val="left"/>
      <w:pPr>
        <w:ind w:left="720" w:hanging="360"/>
      </w:pPr>
      <w:rPr>
        <w:rFonts w:ascii="Courier New" w:hAnsi="Courier New" w:hint="default"/>
        <w:color w:val="C00000"/>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9">
    <w:nsid w:val="4AFB3D95"/>
    <w:multiLevelType w:val="hybridMultilevel"/>
    <w:tmpl w:val="4BA2DF28"/>
    <w:lvl w:ilvl="0" w:tplc="AA0E5A5E">
      <w:start w:val="1"/>
      <w:numFmt w:val="bullet"/>
      <w:lvlText w:val="♥"/>
      <w:lvlJc w:val="left"/>
      <w:pPr>
        <w:ind w:left="720" w:hanging="360"/>
      </w:pPr>
      <w:rPr>
        <w:rFonts w:ascii="Courier New" w:hAnsi="Courier New" w:hint="default"/>
        <w:color w:val="0070C0"/>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0">
    <w:nsid w:val="4B82006E"/>
    <w:multiLevelType w:val="hybridMultilevel"/>
    <w:tmpl w:val="D7DEE876"/>
    <w:lvl w:ilvl="0" w:tplc="300A0009">
      <w:start w:val="1"/>
      <w:numFmt w:val="bullet"/>
      <w:lvlText w:val=""/>
      <w:lvlJc w:val="left"/>
      <w:pPr>
        <w:ind w:left="720" w:hanging="360"/>
      </w:pPr>
      <w:rPr>
        <w:rFonts w:ascii="Wingdings" w:hAnsi="Wingdings" w:hint="default"/>
        <w:b/>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1">
    <w:nsid w:val="4B843B3A"/>
    <w:multiLevelType w:val="hybridMultilevel"/>
    <w:tmpl w:val="BE86CC4A"/>
    <w:lvl w:ilvl="0" w:tplc="82EAB268">
      <w:start w:val="1"/>
      <w:numFmt w:val="bullet"/>
      <w:lvlText w:val="♠"/>
      <w:lvlJc w:val="left"/>
      <w:pPr>
        <w:ind w:left="720" w:hanging="360"/>
      </w:pPr>
      <w:rPr>
        <w:rFonts w:ascii="Courier New" w:hAnsi="Courier New" w:hint="default"/>
        <w:color w:val="C00000"/>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2">
    <w:nsid w:val="4BA37700"/>
    <w:multiLevelType w:val="hybridMultilevel"/>
    <w:tmpl w:val="5914C32C"/>
    <w:lvl w:ilvl="0" w:tplc="189C91E8">
      <w:start w:val="1"/>
      <w:numFmt w:val="lowerLetter"/>
      <w:lvlText w:val="%1)"/>
      <w:lvlJc w:val="left"/>
      <w:pPr>
        <w:ind w:left="720" w:hanging="360"/>
      </w:pPr>
      <w:rPr>
        <w:rFonts w:hint="default"/>
        <w:b/>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33">
    <w:nsid w:val="4C772D3E"/>
    <w:multiLevelType w:val="hybridMultilevel"/>
    <w:tmpl w:val="8C342EF4"/>
    <w:lvl w:ilvl="0" w:tplc="189C91E8">
      <w:start w:val="1"/>
      <w:numFmt w:val="lowerLetter"/>
      <w:lvlText w:val="%1)"/>
      <w:lvlJc w:val="left"/>
      <w:pPr>
        <w:ind w:left="1320" w:hanging="360"/>
      </w:pPr>
      <w:rPr>
        <w:rFonts w:hint="default"/>
        <w:b/>
      </w:rPr>
    </w:lvl>
    <w:lvl w:ilvl="1" w:tplc="300A0019" w:tentative="1">
      <w:start w:val="1"/>
      <w:numFmt w:val="lowerLetter"/>
      <w:lvlText w:val="%2."/>
      <w:lvlJc w:val="left"/>
      <w:pPr>
        <w:ind w:left="2040" w:hanging="360"/>
      </w:pPr>
    </w:lvl>
    <w:lvl w:ilvl="2" w:tplc="300A001B" w:tentative="1">
      <w:start w:val="1"/>
      <w:numFmt w:val="lowerRoman"/>
      <w:lvlText w:val="%3."/>
      <w:lvlJc w:val="right"/>
      <w:pPr>
        <w:ind w:left="2760" w:hanging="180"/>
      </w:pPr>
    </w:lvl>
    <w:lvl w:ilvl="3" w:tplc="300A000F" w:tentative="1">
      <w:start w:val="1"/>
      <w:numFmt w:val="decimal"/>
      <w:lvlText w:val="%4."/>
      <w:lvlJc w:val="left"/>
      <w:pPr>
        <w:ind w:left="3480" w:hanging="360"/>
      </w:pPr>
    </w:lvl>
    <w:lvl w:ilvl="4" w:tplc="300A0019" w:tentative="1">
      <w:start w:val="1"/>
      <w:numFmt w:val="lowerLetter"/>
      <w:lvlText w:val="%5."/>
      <w:lvlJc w:val="left"/>
      <w:pPr>
        <w:ind w:left="4200" w:hanging="360"/>
      </w:pPr>
    </w:lvl>
    <w:lvl w:ilvl="5" w:tplc="300A001B" w:tentative="1">
      <w:start w:val="1"/>
      <w:numFmt w:val="lowerRoman"/>
      <w:lvlText w:val="%6."/>
      <w:lvlJc w:val="right"/>
      <w:pPr>
        <w:ind w:left="4920" w:hanging="180"/>
      </w:pPr>
    </w:lvl>
    <w:lvl w:ilvl="6" w:tplc="300A000F" w:tentative="1">
      <w:start w:val="1"/>
      <w:numFmt w:val="decimal"/>
      <w:lvlText w:val="%7."/>
      <w:lvlJc w:val="left"/>
      <w:pPr>
        <w:ind w:left="5640" w:hanging="360"/>
      </w:pPr>
    </w:lvl>
    <w:lvl w:ilvl="7" w:tplc="300A0019" w:tentative="1">
      <w:start w:val="1"/>
      <w:numFmt w:val="lowerLetter"/>
      <w:lvlText w:val="%8."/>
      <w:lvlJc w:val="left"/>
      <w:pPr>
        <w:ind w:left="6360" w:hanging="360"/>
      </w:pPr>
    </w:lvl>
    <w:lvl w:ilvl="8" w:tplc="300A001B" w:tentative="1">
      <w:start w:val="1"/>
      <w:numFmt w:val="lowerRoman"/>
      <w:lvlText w:val="%9."/>
      <w:lvlJc w:val="right"/>
      <w:pPr>
        <w:ind w:left="7080" w:hanging="180"/>
      </w:pPr>
    </w:lvl>
  </w:abstractNum>
  <w:abstractNum w:abstractNumId="34">
    <w:nsid w:val="503D79B3"/>
    <w:multiLevelType w:val="hybridMultilevel"/>
    <w:tmpl w:val="595A2686"/>
    <w:lvl w:ilvl="0" w:tplc="300A000D">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5">
    <w:nsid w:val="58447DBD"/>
    <w:multiLevelType w:val="hybridMultilevel"/>
    <w:tmpl w:val="1D98A628"/>
    <w:lvl w:ilvl="0" w:tplc="82EAB268">
      <w:start w:val="1"/>
      <w:numFmt w:val="bullet"/>
      <w:lvlText w:val="♠"/>
      <w:lvlJc w:val="left"/>
      <w:pPr>
        <w:ind w:left="720" w:hanging="360"/>
      </w:pPr>
      <w:rPr>
        <w:rFonts w:ascii="Courier New" w:hAnsi="Courier New" w:hint="default"/>
        <w:color w:val="C00000"/>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6">
    <w:nsid w:val="5A4A0999"/>
    <w:multiLevelType w:val="hybridMultilevel"/>
    <w:tmpl w:val="BB6A81CC"/>
    <w:lvl w:ilvl="0" w:tplc="82EAB268">
      <w:start w:val="1"/>
      <w:numFmt w:val="bullet"/>
      <w:lvlText w:val="♠"/>
      <w:lvlJc w:val="left"/>
      <w:pPr>
        <w:ind w:left="720" w:hanging="360"/>
      </w:pPr>
      <w:rPr>
        <w:rFonts w:ascii="Courier New" w:hAnsi="Courier New" w:hint="default"/>
        <w:color w:val="C00000"/>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7">
    <w:nsid w:val="5BA22E4E"/>
    <w:multiLevelType w:val="hybridMultilevel"/>
    <w:tmpl w:val="7C4873BA"/>
    <w:lvl w:ilvl="0" w:tplc="300A0009">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8">
    <w:nsid w:val="5D887199"/>
    <w:multiLevelType w:val="hybridMultilevel"/>
    <w:tmpl w:val="9EC6794E"/>
    <w:lvl w:ilvl="0" w:tplc="300A0009">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9">
    <w:nsid w:val="5EAF2370"/>
    <w:multiLevelType w:val="hybridMultilevel"/>
    <w:tmpl w:val="82B4BA28"/>
    <w:lvl w:ilvl="0" w:tplc="189C91E8">
      <w:start w:val="1"/>
      <w:numFmt w:val="lowerLetter"/>
      <w:lvlText w:val="%1)"/>
      <w:lvlJc w:val="left"/>
      <w:pPr>
        <w:ind w:left="720" w:hanging="360"/>
      </w:pPr>
      <w:rPr>
        <w:rFonts w:hint="default"/>
        <w:b/>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40">
    <w:nsid w:val="601978FD"/>
    <w:multiLevelType w:val="hybridMultilevel"/>
    <w:tmpl w:val="98E037F4"/>
    <w:lvl w:ilvl="0" w:tplc="189C91E8">
      <w:start w:val="1"/>
      <w:numFmt w:val="lowerLetter"/>
      <w:lvlText w:val="%1)"/>
      <w:lvlJc w:val="left"/>
      <w:pPr>
        <w:ind w:left="720" w:hanging="360"/>
      </w:pPr>
      <w:rPr>
        <w:rFonts w:hint="default"/>
        <w:b/>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41">
    <w:nsid w:val="63131B7A"/>
    <w:multiLevelType w:val="hybridMultilevel"/>
    <w:tmpl w:val="8DF2091A"/>
    <w:lvl w:ilvl="0" w:tplc="189C91E8">
      <w:start w:val="1"/>
      <w:numFmt w:val="lowerLetter"/>
      <w:lvlText w:val="%1)"/>
      <w:lvlJc w:val="left"/>
      <w:pPr>
        <w:ind w:left="720" w:hanging="360"/>
      </w:pPr>
      <w:rPr>
        <w:rFonts w:hint="default"/>
        <w:b/>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42">
    <w:nsid w:val="635162CA"/>
    <w:multiLevelType w:val="hybridMultilevel"/>
    <w:tmpl w:val="6A3CFD00"/>
    <w:lvl w:ilvl="0" w:tplc="82EAB268">
      <w:start w:val="1"/>
      <w:numFmt w:val="bullet"/>
      <w:lvlText w:val="♠"/>
      <w:lvlJc w:val="left"/>
      <w:pPr>
        <w:ind w:left="720" w:hanging="360"/>
      </w:pPr>
      <w:rPr>
        <w:rFonts w:ascii="Courier New" w:hAnsi="Courier New" w:hint="default"/>
        <w:color w:val="C00000"/>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43">
    <w:nsid w:val="63EB040B"/>
    <w:multiLevelType w:val="hybridMultilevel"/>
    <w:tmpl w:val="8E689E0A"/>
    <w:lvl w:ilvl="0" w:tplc="300A0009">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44">
    <w:nsid w:val="65ED0AFB"/>
    <w:multiLevelType w:val="hybridMultilevel"/>
    <w:tmpl w:val="DC3A334C"/>
    <w:lvl w:ilvl="0" w:tplc="189C91E8">
      <w:start w:val="1"/>
      <w:numFmt w:val="lowerLetter"/>
      <w:lvlText w:val="%1)"/>
      <w:lvlJc w:val="left"/>
      <w:pPr>
        <w:ind w:left="720" w:hanging="360"/>
      </w:pPr>
      <w:rPr>
        <w:rFonts w:hint="default"/>
        <w:b/>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45">
    <w:nsid w:val="669B2120"/>
    <w:multiLevelType w:val="hybridMultilevel"/>
    <w:tmpl w:val="1BB2DE52"/>
    <w:lvl w:ilvl="0" w:tplc="189C91E8">
      <w:start w:val="1"/>
      <w:numFmt w:val="lowerLetter"/>
      <w:lvlText w:val="%1)"/>
      <w:lvlJc w:val="left"/>
      <w:pPr>
        <w:ind w:left="720" w:hanging="360"/>
      </w:pPr>
      <w:rPr>
        <w:rFonts w:hint="default"/>
        <w:b/>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46">
    <w:nsid w:val="66F34E01"/>
    <w:multiLevelType w:val="hybridMultilevel"/>
    <w:tmpl w:val="91783C26"/>
    <w:lvl w:ilvl="0" w:tplc="300A000D">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47">
    <w:nsid w:val="67B8451C"/>
    <w:multiLevelType w:val="hybridMultilevel"/>
    <w:tmpl w:val="E82A4336"/>
    <w:lvl w:ilvl="0" w:tplc="300A000D">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48">
    <w:nsid w:val="68A129EE"/>
    <w:multiLevelType w:val="hybridMultilevel"/>
    <w:tmpl w:val="BD6A01D0"/>
    <w:lvl w:ilvl="0" w:tplc="300A0009">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49">
    <w:nsid w:val="6D4F4B21"/>
    <w:multiLevelType w:val="hybridMultilevel"/>
    <w:tmpl w:val="FFBC842A"/>
    <w:lvl w:ilvl="0" w:tplc="300A000D">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50">
    <w:nsid w:val="6ECF3816"/>
    <w:multiLevelType w:val="hybridMultilevel"/>
    <w:tmpl w:val="6AFCC102"/>
    <w:lvl w:ilvl="0" w:tplc="300A0009">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51">
    <w:nsid w:val="72667AE7"/>
    <w:multiLevelType w:val="hybridMultilevel"/>
    <w:tmpl w:val="A014CB9A"/>
    <w:lvl w:ilvl="0" w:tplc="300A000D">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52">
    <w:nsid w:val="743F564D"/>
    <w:multiLevelType w:val="hybridMultilevel"/>
    <w:tmpl w:val="26D8B452"/>
    <w:lvl w:ilvl="0" w:tplc="300A0009">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53">
    <w:nsid w:val="7517428C"/>
    <w:multiLevelType w:val="hybridMultilevel"/>
    <w:tmpl w:val="E9109C0E"/>
    <w:lvl w:ilvl="0" w:tplc="300A0009">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54">
    <w:nsid w:val="76572E13"/>
    <w:multiLevelType w:val="hybridMultilevel"/>
    <w:tmpl w:val="A558B480"/>
    <w:lvl w:ilvl="0" w:tplc="300A001B">
      <w:start w:val="1"/>
      <w:numFmt w:val="lowerRoman"/>
      <w:lvlText w:val="%1."/>
      <w:lvlJc w:val="right"/>
      <w:pPr>
        <w:ind w:left="1440" w:hanging="360"/>
      </w:pPr>
    </w:lvl>
    <w:lvl w:ilvl="1" w:tplc="300A0019" w:tentative="1">
      <w:start w:val="1"/>
      <w:numFmt w:val="lowerLetter"/>
      <w:lvlText w:val="%2."/>
      <w:lvlJc w:val="left"/>
      <w:pPr>
        <w:ind w:left="2160" w:hanging="360"/>
      </w:pPr>
    </w:lvl>
    <w:lvl w:ilvl="2" w:tplc="300A001B" w:tentative="1">
      <w:start w:val="1"/>
      <w:numFmt w:val="lowerRoman"/>
      <w:lvlText w:val="%3."/>
      <w:lvlJc w:val="right"/>
      <w:pPr>
        <w:ind w:left="2880" w:hanging="180"/>
      </w:pPr>
    </w:lvl>
    <w:lvl w:ilvl="3" w:tplc="300A000F" w:tentative="1">
      <w:start w:val="1"/>
      <w:numFmt w:val="decimal"/>
      <w:lvlText w:val="%4."/>
      <w:lvlJc w:val="left"/>
      <w:pPr>
        <w:ind w:left="3600" w:hanging="360"/>
      </w:pPr>
    </w:lvl>
    <w:lvl w:ilvl="4" w:tplc="300A0019" w:tentative="1">
      <w:start w:val="1"/>
      <w:numFmt w:val="lowerLetter"/>
      <w:lvlText w:val="%5."/>
      <w:lvlJc w:val="left"/>
      <w:pPr>
        <w:ind w:left="4320" w:hanging="360"/>
      </w:pPr>
    </w:lvl>
    <w:lvl w:ilvl="5" w:tplc="300A001B" w:tentative="1">
      <w:start w:val="1"/>
      <w:numFmt w:val="lowerRoman"/>
      <w:lvlText w:val="%6."/>
      <w:lvlJc w:val="right"/>
      <w:pPr>
        <w:ind w:left="5040" w:hanging="180"/>
      </w:pPr>
    </w:lvl>
    <w:lvl w:ilvl="6" w:tplc="300A000F" w:tentative="1">
      <w:start w:val="1"/>
      <w:numFmt w:val="decimal"/>
      <w:lvlText w:val="%7."/>
      <w:lvlJc w:val="left"/>
      <w:pPr>
        <w:ind w:left="5760" w:hanging="360"/>
      </w:pPr>
    </w:lvl>
    <w:lvl w:ilvl="7" w:tplc="300A0019" w:tentative="1">
      <w:start w:val="1"/>
      <w:numFmt w:val="lowerLetter"/>
      <w:lvlText w:val="%8."/>
      <w:lvlJc w:val="left"/>
      <w:pPr>
        <w:ind w:left="6480" w:hanging="360"/>
      </w:pPr>
    </w:lvl>
    <w:lvl w:ilvl="8" w:tplc="300A001B" w:tentative="1">
      <w:start w:val="1"/>
      <w:numFmt w:val="lowerRoman"/>
      <w:lvlText w:val="%9."/>
      <w:lvlJc w:val="right"/>
      <w:pPr>
        <w:ind w:left="7200" w:hanging="180"/>
      </w:pPr>
    </w:lvl>
  </w:abstractNum>
  <w:abstractNum w:abstractNumId="55">
    <w:nsid w:val="796E4403"/>
    <w:multiLevelType w:val="hybridMultilevel"/>
    <w:tmpl w:val="830A7586"/>
    <w:lvl w:ilvl="0" w:tplc="189C91E8">
      <w:start w:val="1"/>
      <w:numFmt w:val="lowerLetter"/>
      <w:lvlText w:val="%1)"/>
      <w:lvlJc w:val="left"/>
      <w:pPr>
        <w:ind w:left="720" w:hanging="360"/>
      </w:pPr>
      <w:rPr>
        <w:rFonts w:hint="default"/>
        <w:b/>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56">
    <w:nsid w:val="7B8D12BD"/>
    <w:multiLevelType w:val="hybridMultilevel"/>
    <w:tmpl w:val="4508A69A"/>
    <w:lvl w:ilvl="0" w:tplc="82EAB268">
      <w:start w:val="1"/>
      <w:numFmt w:val="bullet"/>
      <w:lvlText w:val="♠"/>
      <w:lvlJc w:val="left"/>
      <w:pPr>
        <w:ind w:left="720" w:hanging="360"/>
      </w:pPr>
      <w:rPr>
        <w:rFonts w:ascii="Courier New" w:hAnsi="Courier New" w:hint="default"/>
        <w:color w:val="C00000"/>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57">
    <w:nsid w:val="7C5941BC"/>
    <w:multiLevelType w:val="hybridMultilevel"/>
    <w:tmpl w:val="2244D354"/>
    <w:lvl w:ilvl="0" w:tplc="189C91E8">
      <w:start w:val="1"/>
      <w:numFmt w:val="lowerLetter"/>
      <w:lvlText w:val="%1)"/>
      <w:lvlJc w:val="left"/>
      <w:pPr>
        <w:ind w:left="720" w:hanging="360"/>
      </w:pPr>
      <w:rPr>
        <w:rFonts w:hint="default"/>
        <w:b/>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58">
    <w:nsid w:val="7D9A6225"/>
    <w:multiLevelType w:val="hybridMultilevel"/>
    <w:tmpl w:val="370293BE"/>
    <w:lvl w:ilvl="0" w:tplc="4C0260B6">
      <w:start w:val="1"/>
      <w:numFmt w:val="lowerLetter"/>
      <w:lvlText w:val="%1)"/>
      <w:lvlJc w:val="left"/>
      <w:pPr>
        <w:ind w:left="720" w:hanging="360"/>
      </w:pPr>
      <w:rPr>
        <w:rFonts w:hint="default"/>
        <w:b/>
        <w:color w:val="0070C0"/>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59">
    <w:nsid w:val="7DD23861"/>
    <w:multiLevelType w:val="hybridMultilevel"/>
    <w:tmpl w:val="FB7EAC14"/>
    <w:lvl w:ilvl="0" w:tplc="189C91E8">
      <w:start w:val="1"/>
      <w:numFmt w:val="lowerLetter"/>
      <w:lvlText w:val="%1)"/>
      <w:lvlJc w:val="left"/>
      <w:pPr>
        <w:ind w:left="720" w:hanging="360"/>
      </w:pPr>
      <w:rPr>
        <w:rFonts w:hint="default"/>
        <w:b/>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num w:numId="1">
    <w:abstractNumId w:val="0"/>
  </w:num>
  <w:num w:numId="2">
    <w:abstractNumId w:val="58"/>
  </w:num>
  <w:num w:numId="3">
    <w:abstractNumId w:val="29"/>
  </w:num>
  <w:num w:numId="4">
    <w:abstractNumId w:val="37"/>
  </w:num>
  <w:num w:numId="5">
    <w:abstractNumId w:val="53"/>
  </w:num>
  <w:num w:numId="6">
    <w:abstractNumId w:val="9"/>
  </w:num>
  <w:num w:numId="7">
    <w:abstractNumId w:val="3"/>
  </w:num>
  <w:num w:numId="8">
    <w:abstractNumId w:val="30"/>
  </w:num>
  <w:num w:numId="9">
    <w:abstractNumId w:val="13"/>
  </w:num>
  <w:num w:numId="10">
    <w:abstractNumId w:val="54"/>
  </w:num>
  <w:num w:numId="11">
    <w:abstractNumId w:val="15"/>
  </w:num>
  <w:num w:numId="12">
    <w:abstractNumId w:val="2"/>
  </w:num>
  <w:num w:numId="13">
    <w:abstractNumId w:val="51"/>
  </w:num>
  <w:num w:numId="14">
    <w:abstractNumId w:val="33"/>
  </w:num>
  <w:num w:numId="15">
    <w:abstractNumId w:val="12"/>
  </w:num>
  <w:num w:numId="16">
    <w:abstractNumId w:val="7"/>
  </w:num>
  <w:num w:numId="17">
    <w:abstractNumId w:val="18"/>
  </w:num>
  <w:num w:numId="18">
    <w:abstractNumId w:val="52"/>
  </w:num>
  <w:num w:numId="19">
    <w:abstractNumId w:val="43"/>
  </w:num>
  <w:num w:numId="20">
    <w:abstractNumId w:val="19"/>
  </w:num>
  <w:num w:numId="21">
    <w:abstractNumId w:val="1"/>
  </w:num>
  <w:num w:numId="22">
    <w:abstractNumId w:val="55"/>
  </w:num>
  <w:num w:numId="23">
    <w:abstractNumId w:val="57"/>
  </w:num>
  <w:num w:numId="24">
    <w:abstractNumId w:val="22"/>
  </w:num>
  <w:num w:numId="25">
    <w:abstractNumId w:val="8"/>
  </w:num>
  <w:num w:numId="26">
    <w:abstractNumId w:val="40"/>
  </w:num>
  <w:num w:numId="27">
    <w:abstractNumId w:val="21"/>
  </w:num>
  <w:num w:numId="28">
    <w:abstractNumId w:val="44"/>
  </w:num>
  <w:num w:numId="29">
    <w:abstractNumId w:val="10"/>
  </w:num>
  <w:num w:numId="30">
    <w:abstractNumId w:val="17"/>
  </w:num>
  <w:num w:numId="31">
    <w:abstractNumId w:val="48"/>
  </w:num>
  <w:num w:numId="32">
    <w:abstractNumId w:val="34"/>
  </w:num>
  <w:num w:numId="33">
    <w:abstractNumId w:val="39"/>
  </w:num>
  <w:num w:numId="34">
    <w:abstractNumId w:val="41"/>
  </w:num>
  <w:num w:numId="35">
    <w:abstractNumId w:val="46"/>
  </w:num>
  <w:num w:numId="36">
    <w:abstractNumId w:val="49"/>
  </w:num>
  <w:num w:numId="37">
    <w:abstractNumId w:val="45"/>
  </w:num>
  <w:num w:numId="38">
    <w:abstractNumId w:val="4"/>
  </w:num>
  <w:num w:numId="39">
    <w:abstractNumId w:val="38"/>
  </w:num>
  <w:num w:numId="40">
    <w:abstractNumId w:val="11"/>
  </w:num>
  <w:num w:numId="41">
    <w:abstractNumId w:val="47"/>
  </w:num>
  <w:num w:numId="42">
    <w:abstractNumId w:val="32"/>
  </w:num>
  <w:num w:numId="43">
    <w:abstractNumId w:val="16"/>
  </w:num>
  <w:num w:numId="44">
    <w:abstractNumId w:val="26"/>
  </w:num>
  <w:num w:numId="45">
    <w:abstractNumId w:val="25"/>
  </w:num>
  <w:num w:numId="46">
    <w:abstractNumId w:val="59"/>
  </w:num>
  <w:num w:numId="47">
    <w:abstractNumId w:val="20"/>
  </w:num>
  <w:num w:numId="48">
    <w:abstractNumId w:val="23"/>
  </w:num>
  <w:num w:numId="49">
    <w:abstractNumId w:val="50"/>
  </w:num>
  <w:num w:numId="50">
    <w:abstractNumId w:val="6"/>
  </w:num>
  <w:num w:numId="51">
    <w:abstractNumId w:val="27"/>
  </w:num>
  <w:num w:numId="52">
    <w:abstractNumId w:val="5"/>
  </w:num>
  <w:num w:numId="53">
    <w:abstractNumId w:val="56"/>
  </w:num>
  <w:num w:numId="54">
    <w:abstractNumId w:val="31"/>
  </w:num>
  <w:num w:numId="55">
    <w:abstractNumId w:val="42"/>
  </w:num>
  <w:num w:numId="56">
    <w:abstractNumId w:val="28"/>
  </w:num>
  <w:num w:numId="57">
    <w:abstractNumId w:val="24"/>
  </w:num>
  <w:num w:numId="58">
    <w:abstractNumId w:val="36"/>
  </w:num>
  <w:num w:numId="59">
    <w:abstractNumId w:val="14"/>
  </w:num>
  <w:num w:numId="60">
    <w:abstractNumId w:val="35"/>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6353"/>
    <w:rsid w:val="000F29AC"/>
    <w:rsid w:val="001579BC"/>
    <w:rsid w:val="001F6189"/>
    <w:rsid w:val="00204CEA"/>
    <w:rsid w:val="002F1422"/>
    <w:rsid w:val="00303DDB"/>
    <w:rsid w:val="00321124"/>
    <w:rsid w:val="003C4D7D"/>
    <w:rsid w:val="003D62A8"/>
    <w:rsid w:val="00423933"/>
    <w:rsid w:val="004573C6"/>
    <w:rsid w:val="004640A5"/>
    <w:rsid w:val="00483BAF"/>
    <w:rsid w:val="0055488A"/>
    <w:rsid w:val="00555544"/>
    <w:rsid w:val="005A63C5"/>
    <w:rsid w:val="005D29B2"/>
    <w:rsid w:val="006B00D4"/>
    <w:rsid w:val="006C6B15"/>
    <w:rsid w:val="00801D62"/>
    <w:rsid w:val="00835270"/>
    <w:rsid w:val="008F5254"/>
    <w:rsid w:val="00934067"/>
    <w:rsid w:val="00A2672B"/>
    <w:rsid w:val="00A44841"/>
    <w:rsid w:val="00A56353"/>
    <w:rsid w:val="00A73ACC"/>
    <w:rsid w:val="00A97BE0"/>
    <w:rsid w:val="00AA1C63"/>
    <w:rsid w:val="00AA4917"/>
    <w:rsid w:val="00AA681F"/>
    <w:rsid w:val="00AD7115"/>
    <w:rsid w:val="00B42282"/>
    <w:rsid w:val="00B42663"/>
    <w:rsid w:val="00B75CFD"/>
    <w:rsid w:val="00BA1D56"/>
    <w:rsid w:val="00BF01E5"/>
    <w:rsid w:val="00C2325A"/>
    <w:rsid w:val="00CB59DB"/>
    <w:rsid w:val="00CE06F2"/>
    <w:rsid w:val="00D45C02"/>
    <w:rsid w:val="00D553E6"/>
    <w:rsid w:val="00D75A57"/>
    <w:rsid w:val="00DA2B4A"/>
    <w:rsid w:val="00E91025"/>
    <w:rsid w:val="00E96625"/>
    <w:rsid w:val="00ED11C8"/>
    <w:rsid w:val="00EF6EF7"/>
    <w:rsid w:val="00F23492"/>
    <w:rsid w:val="00F650B9"/>
    <w:rsid w:val="00FE66A9"/>
    <w:rsid w:val="00FF788A"/>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C"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353"/>
  </w:style>
  <w:style w:type="paragraph" w:styleId="Ttulo2">
    <w:name w:val="heading 2"/>
    <w:basedOn w:val="Normal"/>
    <w:link w:val="Ttulo2Car"/>
    <w:uiPriority w:val="9"/>
    <w:qFormat/>
    <w:rsid w:val="00483BAF"/>
    <w:pPr>
      <w:spacing w:before="100" w:beforeAutospacing="1" w:after="100" w:afterAutospacing="1" w:line="240" w:lineRule="auto"/>
      <w:outlineLvl w:val="1"/>
    </w:pPr>
    <w:rPr>
      <w:rFonts w:ascii="Times New Roman" w:eastAsia="Times New Roman" w:hAnsi="Times New Roman" w:cs="Times New Roman"/>
      <w:b/>
      <w:bCs/>
      <w:sz w:val="36"/>
      <w:szCs w:val="36"/>
      <w:lang w:eastAsia="es-EC"/>
    </w:rPr>
  </w:style>
  <w:style w:type="paragraph" w:styleId="Ttulo3">
    <w:name w:val="heading 3"/>
    <w:basedOn w:val="Normal"/>
    <w:link w:val="Ttulo3Car"/>
    <w:uiPriority w:val="9"/>
    <w:qFormat/>
    <w:rsid w:val="00483BAF"/>
    <w:pPr>
      <w:spacing w:before="100" w:beforeAutospacing="1" w:after="100" w:afterAutospacing="1" w:line="240" w:lineRule="auto"/>
      <w:outlineLvl w:val="2"/>
    </w:pPr>
    <w:rPr>
      <w:rFonts w:ascii="Times New Roman" w:eastAsia="Times New Roman" w:hAnsi="Times New Roman" w:cs="Times New Roman"/>
      <w:b/>
      <w:bCs/>
      <w:sz w:val="27"/>
      <w:szCs w:val="27"/>
      <w:lang w:eastAsia="es-EC"/>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body">
    <w:name w:val="Text body"/>
    <w:basedOn w:val="Normal"/>
    <w:rsid w:val="00A56353"/>
    <w:pPr>
      <w:widowControl w:val="0"/>
      <w:suppressAutoHyphens/>
      <w:autoSpaceDN w:val="0"/>
      <w:spacing w:after="120" w:line="240" w:lineRule="auto"/>
      <w:textAlignment w:val="baseline"/>
    </w:pPr>
    <w:rPr>
      <w:rFonts w:ascii="Liberation Serif" w:eastAsia="WenQuanYi Micro Hei" w:hAnsi="Liberation Serif" w:cs="Lohit Hindi"/>
      <w:kern w:val="3"/>
      <w:sz w:val="24"/>
      <w:szCs w:val="24"/>
      <w:lang w:eastAsia="zh-CN" w:bidi="hi-IN"/>
    </w:rPr>
  </w:style>
  <w:style w:type="paragraph" w:styleId="Prrafodelista">
    <w:name w:val="List Paragraph"/>
    <w:basedOn w:val="Normal"/>
    <w:uiPriority w:val="34"/>
    <w:qFormat/>
    <w:rsid w:val="00AA4917"/>
    <w:pPr>
      <w:ind w:left="720"/>
      <w:contextualSpacing/>
    </w:pPr>
  </w:style>
  <w:style w:type="paragraph" w:styleId="Textodeglobo">
    <w:name w:val="Balloon Text"/>
    <w:basedOn w:val="Normal"/>
    <w:link w:val="TextodegloboCar"/>
    <w:uiPriority w:val="99"/>
    <w:semiHidden/>
    <w:unhideWhenUsed/>
    <w:rsid w:val="00B75CF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B75CFD"/>
    <w:rPr>
      <w:rFonts w:ascii="Tahoma" w:hAnsi="Tahoma" w:cs="Tahoma"/>
      <w:sz w:val="16"/>
      <w:szCs w:val="16"/>
    </w:rPr>
  </w:style>
  <w:style w:type="paragraph" w:styleId="Bibliografa">
    <w:name w:val="Bibliography"/>
    <w:basedOn w:val="Normal"/>
    <w:next w:val="Normal"/>
    <w:uiPriority w:val="37"/>
    <w:unhideWhenUsed/>
    <w:rsid w:val="00B75CFD"/>
  </w:style>
  <w:style w:type="character" w:customStyle="1" w:styleId="Ttulo2Car">
    <w:name w:val="Título 2 Car"/>
    <w:basedOn w:val="Fuentedeprrafopredeter"/>
    <w:link w:val="Ttulo2"/>
    <w:uiPriority w:val="9"/>
    <w:rsid w:val="00483BAF"/>
    <w:rPr>
      <w:rFonts w:ascii="Times New Roman" w:eastAsia="Times New Roman" w:hAnsi="Times New Roman" w:cs="Times New Roman"/>
      <w:b/>
      <w:bCs/>
      <w:sz w:val="36"/>
      <w:szCs w:val="36"/>
      <w:lang w:eastAsia="es-EC"/>
    </w:rPr>
  </w:style>
  <w:style w:type="character" w:customStyle="1" w:styleId="Ttulo3Car">
    <w:name w:val="Título 3 Car"/>
    <w:basedOn w:val="Fuentedeprrafopredeter"/>
    <w:link w:val="Ttulo3"/>
    <w:uiPriority w:val="9"/>
    <w:rsid w:val="00483BAF"/>
    <w:rPr>
      <w:rFonts w:ascii="Times New Roman" w:eastAsia="Times New Roman" w:hAnsi="Times New Roman" w:cs="Times New Roman"/>
      <w:b/>
      <w:bCs/>
      <w:sz w:val="27"/>
      <w:szCs w:val="27"/>
      <w:lang w:eastAsia="es-EC"/>
    </w:rPr>
  </w:style>
  <w:style w:type="paragraph" w:styleId="NormalWeb">
    <w:name w:val="Normal (Web)"/>
    <w:basedOn w:val="Normal"/>
    <w:uiPriority w:val="99"/>
    <w:unhideWhenUsed/>
    <w:rsid w:val="00483BAF"/>
    <w:pPr>
      <w:spacing w:before="100" w:beforeAutospacing="1" w:after="100" w:afterAutospacing="1" w:line="240" w:lineRule="auto"/>
    </w:pPr>
    <w:rPr>
      <w:rFonts w:ascii="Times New Roman" w:eastAsia="Times New Roman" w:hAnsi="Times New Roman" w:cs="Times New Roman"/>
      <w:sz w:val="24"/>
      <w:szCs w:val="24"/>
      <w:lang w:eastAsia="es-EC"/>
    </w:rPr>
  </w:style>
  <w:style w:type="character" w:styleId="Textoennegrita">
    <w:name w:val="Strong"/>
    <w:basedOn w:val="Fuentedeprrafopredeter"/>
    <w:uiPriority w:val="22"/>
    <w:qFormat/>
    <w:rsid w:val="00483BAF"/>
    <w:rPr>
      <w:b/>
      <w:bCs/>
    </w:rPr>
  </w:style>
  <w:style w:type="character" w:customStyle="1" w:styleId="cufon-alt">
    <w:name w:val="cufon-alt"/>
    <w:basedOn w:val="Fuentedeprrafopredeter"/>
    <w:rsid w:val="00483BAF"/>
  </w:style>
  <w:style w:type="paragraph" w:styleId="Sinespaciado">
    <w:name w:val="No Spacing"/>
    <w:uiPriority w:val="1"/>
    <w:qFormat/>
    <w:rsid w:val="00204CEA"/>
    <w:pPr>
      <w:spacing w:after="0" w:line="240" w:lineRule="auto"/>
    </w:pPr>
  </w:style>
  <w:style w:type="character" w:customStyle="1" w:styleId="st">
    <w:name w:val="st"/>
    <w:basedOn w:val="Fuentedeprrafopredeter"/>
    <w:rsid w:val="0093406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C"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353"/>
  </w:style>
  <w:style w:type="paragraph" w:styleId="Ttulo2">
    <w:name w:val="heading 2"/>
    <w:basedOn w:val="Normal"/>
    <w:link w:val="Ttulo2Car"/>
    <w:uiPriority w:val="9"/>
    <w:qFormat/>
    <w:rsid w:val="00483BAF"/>
    <w:pPr>
      <w:spacing w:before="100" w:beforeAutospacing="1" w:after="100" w:afterAutospacing="1" w:line="240" w:lineRule="auto"/>
      <w:outlineLvl w:val="1"/>
    </w:pPr>
    <w:rPr>
      <w:rFonts w:ascii="Times New Roman" w:eastAsia="Times New Roman" w:hAnsi="Times New Roman" w:cs="Times New Roman"/>
      <w:b/>
      <w:bCs/>
      <w:sz w:val="36"/>
      <w:szCs w:val="36"/>
      <w:lang w:eastAsia="es-EC"/>
    </w:rPr>
  </w:style>
  <w:style w:type="paragraph" w:styleId="Ttulo3">
    <w:name w:val="heading 3"/>
    <w:basedOn w:val="Normal"/>
    <w:link w:val="Ttulo3Car"/>
    <w:uiPriority w:val="9"/>
    <w:qFormat/>
    <w:rsid w:val="00483BAF"/>
    <w:pPr>
      <w:spacing w:before="100" w:beforeAutospacing="1" w:after="100" w:afterAutospacing="1" w:line="240" w:lineRule="auto"/>
      <w:outlineLvl w:val="2"/>
    </w:pPr>
    <w:rPr>
      <w:rFonts w:ascii="Times New Roman" w:eastAsia="Times New Roman" w:hAnsi="Times New Roman" w:cs="Times New Roman"/>
      <w:b/>
      <w:bCs/>
      <w:sz w:val="27"/>
      <w:szCs w:val="27"/>
      <w:lang w:eastAsia="es-EC"/>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body">
    <w:name w:val="Text body"/>
    <w:basedOn w:val="Normal"/>
    <w:rsid w:val="00A56353"/>
    <w:pPr>
      <w:widowControl w:val="0"/>
      <w:suppressAutoHyphens/>
      <w:autoSpaceDN w:val="0"/>
      <w:spacing w:after="120" w:line="240" w:lineRule="auto"/>
      <w:textAlignment w:val="baseline"/>
    </w:pPr>
    <w:rPr>
      <w:rFonts w:ascii="Liberation Serif" w:eastAsia="WenQuanYi Micro Hei" w:hAnsi="Liberation Serif" w:cs="Lohit Hindi"/>
      <w:kern w:val="3"/>
      <w:sz w:val="24"/>
      <w:szCs w:val="24"/>
      <w:lang w:eastAsia="zh-CN" w:bidi="hi-IN"/>
    </w:rPr>
  </w:style>
  <w:style w:type="paragraph" w:styleId="Prrafodelista">
    <w:name w:val="List Paragraph"/>
    <w:basedOn w:val="Normal"/>
    <w:uiPriority w:val="34"/>
    <w:qFormat/>
    <w:rsid w:val="00AA4917"/>
    <w:pPr>
      <w:ind w:left="720"/>
      <w:contextualSpacing/>
    </w:pPr>
  </w:style>
  <w:style w:type="paragraph" w:styleId="Textodeglobo">
    <w:name w:val="Balloon Text"/>
    <w:basedOn w:val="Normal"/>
    <w:link w:val="TextodegloboCar"/>
    <w:uiPriority w:val="99"/>
    <w:semiHidden/>
    <w:unhideWhenUsed/>
    <w:rsid w:val="00B75CF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B75CFD"/>
    <w:rPr>
      <w:rFonts w:ascii="Tahoma" w:hAnsi="Tahoma" w:cs="Tahoma"/>
      <w:sz w:val="16"/>
      <w:szCs w:val="16"/>
    </w:rPr>
  </w:style>
  <w:style w:type="paragraph" w:styleId="Bibliografa">
    <w:name w:val="Bibliography"/>
    <w:basedOn w:val="Normal"/>
    <w:next w:val="Normal"/>
    <w:uiPriority w:val="37"/>
    <w:unhideWhenUsed/>
    <w:rsid w:val="00B75CFD"/>
  </w:style>
  <w:style w:type="character" w:customStyle="1" w:styleId="Ttulo2Car">
    <w:name w:val="Título 2 Car"/>
    <w:basedOn w:val="Fuentedeprrafopredeter"/>
    <w:link w:val="Ttulo2"/>
    <w:uiPriority w:val="9"/>
    <w:rsid w:val="00483BAF"/>
    <w:rPr>
      <w:rFonts w:ascii="Times New Roman" w:eastAsia="Times New Roman" w:hAnsi="Times New Roman" w:cs="Times New Roman"/>
      <w:b/>
      <w:bCs/>
      <w:sz w:val="36"/>
      <w:szCs w:val="36"/>
      <w:lang w:eastAsia="es-EC"/>
    </w:rPr>
  </w:style>
  <w:style w:type="character" w:customStyle="1" w:styleId="Ttulo3Car">
    <w:name w:val="Título 3 Car"/>
    <w:basedOn w:val="Fuentedeprrafopredeter"/>
    <w:link w:val="Ttulo3"/>
    <w:uiPriority w:val="9"/>
    <w:rsid w:val="00483BAF"/>
    <w:rPr>
      <w:rFonts w:ascii="Times New Roman" w:eastAsia="Times New Roman" w:hAnsi="Times New Roman" w:cs="Times New Roman"/>
      <w:b/>
      <w:bCs/>
      <w:sz w:val="27"/>
      <w:szCs w:val="27"/>
      <w:lang w:eastAsia="es-EC"/>
    </w:rPr>
  </w:style>
  <w:style w:type="paragraph" w:styleId="NormalWeb">
    <w:name w:val="Normal (Web)"/>
    <w:basedOn w:val="Normal"/>
    <w:uiPriority w:val="99"/>
    <w:unhideWhenUsed/>
    <w:rsid w:val="00483BAF"/>
    <w:pPr>
      <w:spacing w:before="100" w:beforeAutospacing="1" w:after="100" w:afterAutospacing="1" w:line="240" w:lineRule="auto"/>
    </w:pPr>
    <w:rPr>
      <w:rFonts w:ascii="Times New Roman" w:eastAsia="Times New Roman" w:hAnsi="Times New Roman" w:cs="Times New Roman"/>
      <w:sz w:val="24"/>
      <w:szCs w:val="24"/>
      <w:lang w:eastAsia="es-EC"/>
    </w:rPr>
  </w:style>
  <w:style w:type="character" w:styleId="Textoennegrita">
    <w:name w:val="Strong"/>
    <w:basedOn w:val="Fuentedeprrafopredeter"/>
    <w:uiPriority w:val="22"/>
    <w:qFormat/>
    <w:rsid w:val="00483BAF"/>
    <w:rPr>
      <w:b/>
      <w:bCs/>
    </w:rPr>
  </w:style>
  <w:style w:type="character" w:customStyle="1" w:styleId="cufon-alt">
    <w:name w:val="cufon-alt"/>
    <w:basedOn w:val="Fuentedeprrafopredeter"/>
    <w:rsid w:val="00483BAF"/>
  </w:style>
  <w:style w:type="paragraph" w:styleId="Sinespaciado">
    <w:name w:val="No Spacing"/>
    <w:uiPriority w:val="1"/>
    <w:qFormat/>
    <w:rsid w:val="00204CEA"/>
    <w:pPr>
      <w:spacing w:after="0" w:line="240" w:lineRule="auto"/>
    </w:pPr>
  </w:style>
  <w:style w:type="character" w:customStyle="1" w:styleId="st">
    <w:name w:val="st"/>
    <w:basedOn w:val="Fuentedeprrafopredeter"/>
    <w:rsid w:val="009340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2658343">
      <w:bodyDiv w:val="1"/>
      <w:marLeft w:val="0"/>
      <w:marRight w:val="0"/>
      <w:marTop w:val="0"/>
      <w:marBottom w:val="0"/>
      <w:divBdr>
        <w:top w:val="none" w:sz="0" w:space="0" w:color="auto"/>
        <w:left w:val="none" w:sz="0" w:space="0" w:color="auto"/>
        <w:bottom w:val="none" w:sz="0" w:space="0" w:color="auto"/>
        <w:right w:val="none" w:sz="0" w:space="0" w:color="auto"/>
      </w:divBdr>
    </w:div>
    <w:div w:id="698551860">
      <w:bodyDiv w:val="1"/>
      <w:marLeft w:val="0"/>
      <w:marRight w:val="0"/>
      <w:marTop w:val="0"/>
      <w:marBottom w:val="0"/>
      <w:divBdr>
        <w:top w:val="none" w:sz="0" w:space="0" w:color="auto"/>
        <w:left w:val="none" w:sz="0" w:space="0" w:color="auto"/>
        <w:bottom w:val="none" w:sz="0" w:space="0" w:color="auto"/>
        <w:right w:val="none" w:sz="0" w:space="0" w:color="auto"/>
      </w:divBdr>
    </w:div>
    <w:div w:id="732656515">
      <w:bodyDiv w:val="1"/>
      <w:marLeft w:val="0"/>
      <w:marRight w:val="0"/>
      <w:marTop w:val="0"/>
      <w:marBottom w:val="0"/>
      <w:divBdr>
        <w:top w:val="none" w:sz="0" w:space="0" w:color="auto"/>
        <w:left w:val="none" w:sz="0" w:space="0" w:color="auto"/>
        <w:bottom w:val="none" w:sz="0" w:space="0" w:color="auto"/>
        <w:right w:val="none" w:sz="0" w:space="0" w:color="auto"/>
      </w:divBdr>
    </w:div>
    <w:div w:id="759638095">
      <w:bodyDiv w:val="1"/>
      <w:marLeft w:val="0"/>
      <w:marRight w:val="0"/>
      <w:marTop w:val="0"/>
      <w:marBottom w:val="0"/>
      <w:divBdr>
        <w:top w:val="none" w:sz="0" w:space="0" w:color="auto"/>
        <w:left w:val="none" w:sz="0" w:space="0" w:color="auto"/>
        <w:bottom w:val="none" w:sz="0" w:space="0" w:color="auto"/>
        <w:right w:val="none" w:sz="0" w:space="0" w:color="auto"/>
      </w:divBdr>
    </w:div>
    <w:div w:id="795752823">
      <w:bodyDiv w:val="1"/>
      <w:marLeft w:val="0"/>
      <w:marRight w:val="0"/>
      <w:marTop w:val="0"/>
      <w:marBottom w:val="0"/>
      <w:divBdr>
        <w:top w:val="none" w:sz="0" w:space="0" w:color="auto"/>
        <w:left w:val="none" w:sz="0" w:space="0" w:color="auto"/>
        <w:bottom w:val="none" w:sz="0" w:space="0" w:color="auto"/>
        <w:right w:val="none" w:sz="0" w:space="0" w:color="auto"/>
      </w:divBdr>
    </w:div>
    <w:div w:id="822233297">
      <w:bodyDiv w:val="1"/>
      <w:marLeft w:val="0"/>
      <w:marRight w:val="0"/>
      <w:marTop w:val="0"/>
      <w:marBottom w:val="0"/>
      <w:divBdr>
        <w:top w:val="none" w:sz="0" w:space="0" w:color="auto"/>
        <w:left w:val="none" w:sz="0" w:space="0" w:color="auto"/>
        <w:bottom w:val="none" w:sz="0" w:space="0" w:color="auto"/>
        <w:right w:val="none" w:sz="0" w:space="0" w:color="auto"/>
      </w:divBdr>
    </w:div>
    <w:div w:id="1028792766">
      <w:bodyDiv w:val="1"/>
      <w:marLeft w:val="0"/>
      <w:marRight w:val="0"/>
      <w:marTop w:val="0"/>
      <w:marBottom w:val="0"/>
      <w:divBdr>
        <w:top w:val="none" w:sz="0" w:space="0" w:color="auto"/>
        <w:left w:val="none" w:sz="0" w:space="0" w:color="auto"/>
        <w:bottom w:val="none" w:sz="0" w:space="0" w:color="auto"/>
        <w:right w:val="none" w:sz="0" w:space="0" w:color="auto"/>
      </w:divBdr>
    </w:div>
    <w:div w:id="1256477069">
      <w:bodyDiv w:val="1"/>
      <w:marLeft w:val="0"/>
      <w:marRight w:val="0"/>
      <w:marTop w:val="0"/>
      <w:marBottom w:val="0"/>
      <w:divBdr>
        <w:top w:val="none" w:sz="0" w:space="0" w:color="auto"/>
        <w:left w:val="none" w:sz="0" w:space="0" w:color="auto"/>
        <w:bottom w:val="none" w:sz="0" w:space="0" w:color="auto"/>
        <w:right w:val="none" w:sz="0" w:space="0" w:color="auto"/>
      </w:divBdr>
    </w:div>
    <w:div w:id="2013489414">
      <w:bodyDiv w:val="1"/>
      <w:marLeft w:val="0"/>
      <w:marRight w:val="0"/>
      <w:marTop w:val="0"/>
      <w:marBottom w:val="0"/>
      <w:divBdr>
        <w:top w:val="none" w:sz="0" w:space="0" w:color="auto"/>
        <w:left w:val="none" w:sz="0" w:space="0" w:color="auto"/>
        <w:bottom w:val="none" w:sz="0" w:space="0" w:color="auto"/>
        <w:right w:val="none" w:sz="0" w:space="0" w:color="auto"/>
      </w:divBdr>
    </w:div>
    <w:div w:id="2083991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Cif99</b:Tag>
    <b:SourceType>Book</b:SourceType>
    <b:Guid>{05B49DF9-9565-4697-A251-BE929713A012}</b:Guid>
    <b:Author>
      <b:Author>
        <b:NameList>
          <b:Person>
            <b:Last>Cifuentes</b:Last>
            <b:First>Juan</b:First>
            <b:Middle>Pablo</b:Middle>
          </b:Person>
        </b:NameList>
      </b:Author>
    </b:Author>
    <b:Title>Análisis Financiero</b:Title>
    <b:Year>1999</b:Year>
    <b:City>Santa Fé de Bogotá</b:City>
    <b:Publisher>Fundación Universitaria San Martín</b:Publisher>
    <b:RefOrder>2</b:RefOrder>
  </b:Source>
  <b:Source>
    <b:Tag>Bra11</b:Tag>
    <b:SourceType>Book</b:SourceType>
    <b:Guid>{0509965C-F38C-4132-AD35-A209BBEA800D}</b:Guid>
    <b:Author>
      <b:Author>
        <b:NameList>
          <b:Person>
            <b:Last>Bravo Valdivieso</b:Last>
            <b:First>Mercedes</b:First>
          </b:Person>
        </b:NameList>
      </b:Author>
    </b:Author>
    <b:Title>Contabilidad General</b:Title>
    <b:Year>2011</b:Year>
    <b:City>Quito- Ecuador</b:City>
    <b:Publisher>Escobar</b:Publisher>
    <b:RefOrder>1</b:RefOrder>
  </b:Source>
</b:Sources>
</file>

<file path=customXml/itemProps1.xml><?xml version="1.0" encoding="utf-8"?>
<ds:datastoreItem xmlns:ds="http://schemas.openxmlformats.org/officeDocument/2006/customXml" ds:itemID="{FF0695F7-D88C-4591-86D4-42B2F9F855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567</TotalTime>
  <Pages>33</Pages>
  <Words>7468</Words>
  <Characters>41079</Characters>
  <Application>Microsoft Office Word</Application>
  <DocSecurity>0</DocSecurity>
  <Lines>342</Lines>
  <Paragraphs>96</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48451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19</cp:revision>
  <dcterms:created xsi:type="dcterms:W3CDTF">2012-11-06T14:18:00Z</dcterms:created>
  <dcterms:modified xsi:type="dcterms:W3CDTF">2012-11-07T04:04:00Z</dcterms:modified>
</cp:coreProperties>
</file>